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26E" w:rsidRDefault="0072526E">
      <w:pPr>
        <w:rPr>
          <w:rFonts w:ascii="Arial Narrow" w:hAnsi="Arial Narrow"/>
          <w:b/>
        </w:rPr>
      </w:pPr>
    </w:p>
    <w:p w:rsidR="00333602" w:rsidRPr="00333602" w:rsidRDefault="00333602" w:rsidP="0033360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E w:val="0"/>
        <w:adjustRightInd w:val="0"/>
        <w:jc w:val="center"/>
        <w:textAlignment w:val="auto"/>
        <w:rPr>
          <w:rFonts w:ascii="Arial Narrow" w:eastAsia="Times New Roman" w:hAnsi="Arial Narrow" w:cs="Times New Roman"/>
          <w:b/>
          <w:kern w:val="0"/>
          <w:lang w:eastAsia="fr-FR" w:bidi="ar-SA"/>
        </w:rPr>
      </w:pPr>
      <w:r w:rsidRPr="00333602">
        <w:rPr>
          <w:rFonts w:ascii="Arial Narrow" w:eastAsia="Times New Roman" w:hAnsi="Arial Narrow" w:cs="Times New Roman"/>
          <w:b/>
          <w:kern w:val="0"/>
          <w:lang w:eastAsia="fr-FR" w:bidi="ar-SA"/>
        </w:rPr>
        <w:t xml:space="preserve">Aucun document n’est autorisé </w:t>
      </w:r>
    </w:p>
    <w:p w:rsidR="00333602" w:rsidRPr="00333602" w:rsidRDefault="00333602" w:rsidP="0033360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E w:val="0"/>
        <w:adjustRightInd w:val="0"/>
        <w:jc w:val="center"/>
        <w:textAlignment w:val="auto"/>
        <w:rPr>
          <w:rFonts w:ascii="Arial Narrow" w:eastAsia="Times New Roman" w:hAnsi="Arial Narrow" w:cs="Times New Roman"/>
          <w:b/>
          <w:kern w:val="0"/>
          <w:lang w:eastAsia="fr-FR" w:bidi="ar-SA"/>
        </w:rPr>
      </w:pPr>
      <w:proofErr w:type="gramStart"/>
      <w:r w:rsidRPr="00333602">
        <w:rPr>
          <w:rFonts w:ascii="Arial Narrow" w:eastAsia="Times New Roman" w:hAnsi="Arial Narrow" w:cs="Times New Roman"/>
          <w:b/>
          <w:kern w:val="0"/>
          <w:lang w:eastAsia="fr-FR" w:bidi="ar-SA"/>
        </w:rPr>
        <w:t>à</w:t>
      </w:r>
      <w:proofErr w:type="gramEnd"/>
      <w:r w:rsidRPr="00333602">
        <w:rPr>
          <w:rFonts w:ascii="Arial Narrow" w:eastAsia="Times New Roman" w:hAnsi="Arial Narrow" w:cs="Times New Roman"/>
          <w:b/>
          <w:kern w:val="0"/>
          <w:lang w:eastAsia="fr-FR" w:bidi="ar-SA"/>
        </w:rPr>
        <w:t xml:space="preserve"> l’exception de dictionnaires de français pour les étudiants de langue étrangère</w:t>
      </w:r>
    </w:p>
    <w:p w:rsidR="00333602" w:rsidRPr="00333602" w:rsidRDefault="00333602" w:rsidP="0033360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E w:val="0"/>
        <w:adjustRightInd w:val="0"/>
        <w:jc w:val="center"/>
        <w:textAlignment w:val="auto"/>
        <w:rPr>
          <w:rFonts w:ascii="Arial Narrow" w:eastAsia="Times New Roman" w:hAnsi="Arial Narrow" w:cs="Times New Roman"/>
          <w:b/>
          <w:kern w:val="0"/>
          <w:lang w:eastAsia="fr-FR" w:bidi="ar-SA"/>
        </w:rPr>
      </w:pPr>
      <w:r w:rsidRPr="00333602">
        <w:rPr>
          <w:rFonts w:ascii="Arial Narrow" w:eastAsia="Times New Roman" w:hAnsi="Arial Narrow" w:cs="Times New Roman"/>
          <w:b/>
          <w:kern w:val="0"/>
          <w:lang w:eastAsia="fr-FR" w:bidi="ar-SA"/>
        </w:rPr>
        <w:t>Vous veillerez à soigner la présentation de votre copie ainsi que l’orthographe.</w:t>
      </w:r>
    </w:p>
    <w:p w:rsidR="00333602" w:rsidRPr="00333602" w:rsidRDefault="00333602" w:rsidP="00333602">
      <w:pPr>
        <w:widowControl/>
        <w:suppressAutoHyphens w:val="0"/>
        <w:autoSpaceDE w:val="0"/>
        <w:adjustRightInd w:val="0"/>
        <w:spacing w:before="100"/>
        <w:jc w:val="both"/>
        <w:textAlignment w:val="auto"/>
        <w:rPr>
          <w:rFonts w:ascii="Arial Narrow" w:eastAsia="Times New Roman" w:hAnsi="Arial Narrow" w:cs="Arial"/>
          <w:kern w:val="0"/>
          <w:sz w:val="22"/>
          <w:szCs w:val="22"/>
          <w:lang w:eastAsia="ko-KR" w:bidi="ar-SA"/>
        </w:rPr>
      </w:pPr>
    </w:p>
    <w:p w:rsidR="00333602" w:rsidRPr="00333602" w:rsidRDefault="00333602" w:rsidP="00333602">
      <w:pPr>
        <w:widowControl/>
        <w:suppressAutoHyphens w:val="0"/>
        <w:autoSpaceDE w:val="0"/>
        <w:adjustRightInd w:val="0"/>
        <w:spacing w:before="100"/>
        <w:jc w:val="both"/>
        <w:textAlignment w:val="auto"/>
        <w:rPr>
          <w:rFonts w:ascii="Arial Narrow" w:eastAsia="Times New Roman" w:hAnsi="Arial Narrow" w:cs="Arial"/>
          <w:kern w:val="0"/>
          <w:sz w:val="22"/>
          <w:szCs w:val="22"/>
          <w:lang w:eastAsia="ko-KR" w:bidi="ar-SA"/>
        </w:rPr>
      </w:pPr>
    </w:p>
    <w:p w:rsidR="00333602" w:rsidRPr="00333602" w:rsidRDefault="00333602" w:rsidP="00554BEC">
      <w:pPr>
        <w:widowControl/>
        <w:numPr>
          <w:ilvl w:val="0"/>
          <w:numId w:val="25"/>
        </w:numPr>
        <w:tabs>
          <w:tab w:val="left" w:pos="284"/>
          <w:tab w:val="left" w:pos="1134"/>
        </w:tabs>
        <w:suppressAutoHyphens w:val="0"/>
        <w:autoSpaceDE w:val="0"/>
        <w:autoSpaceDN/>
        <w:adjustRightInd w:val="0"/>
        <w:spacing w:line="360" w:lineRule="auto"/>
        <w:ind w:hanging="11"/>
        <w:jc w:val="both"/>
        <w:textAlignment w:val="auto"/>
        <w:rPr>
          <w:rFonts w:ascii="Arial" w:eastAsia="Times New Roman" w:hAnsi="Arial" w:cs="Arial"/>
          <w:b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b/>
          <w:kern w:val="0"/>
          <w:sz w:val="22"/>
          <w:szCs w:val="22"/>
          <w:lang w:eastAsia="fr-FR" w:bidi="ar-SA"/>
        </w:rPr>
        <w:t>Analyse de graphiques</w:t>
      </w: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 xml:space="preserve"> </w:t>
      </w:r>
      <w:r w:rsidRPr="00333602">
        <w:rPr>
          <w:rFonts w:ascii="Arial" w:eastAsia="Times New Roman" w:hAnsi="Arial" w:cs="Arial"/>
          <w:b/>
          <w:kern w:val="0"/>
          <w:sz w:val="22"/>
          <w:szCs w:val="22"/>
          <w:lang w:eastAsia="fr-FR" w:bidi="ar-SA"/>
        </w:rPr>
        <w:t>(5 points)</w:t>
      </w:r>
    </w:p>
    <w:p w:rsidR="00333602" w:rsidRPr="00333602" w:rsidRDefault="00333602" w:rsidP="00333602">
      <w:pPr>
        <w:widowControl/>
        <w:numPr>
          <w:ilvl w:val="0"/>
          <w:numId w:val="24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ascii="Arial" w:eastAsia="Times New Roman" w:hAnsi="Arial" w:cs="Arial"/>
          <w:b/>
          <w:kern w:val="0"/>
          <w:sz w:val="22"/>
          <w:szCs w:val="22"/>
          <w:lang w:eastAsia="ko-KR" w:bidi="ar-SA"/>
        </w:rPr>
      </w:pP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Commentez les deux graphiques ci-dessous relatifs à l'évolution du commerce extérieur de la France.</w:t>
      </w:r>
      <w:r w:rsidRPr="00333602">
        <w:rPr>
          <w:rFonts w:ascii="Arial" w:hAnsi="Arial"/>
          <w:b/>
          <w:bCs/>
          <w:noProof/>
          <w:sz w:val="16"/>
          <w:szCs w:val="16"/>
          <w:lang w:eastAsia="fr-FR"/>
        </w:rPr>
        <w:t xml:space="preserve"> </w:t>
      </w:r>
    </w:p>
    <w:p w:rsidR="00333602" w:rsidRPr="00333602" w:rsidRDefault="00333602" w:rsidP="00333602">
      <w:pPr>
        <w:widowControl/>
        <w:numPr>
          <w:ilvl w:val="0"/>
          <w:numId w:val="24"/>
        </w:numPr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ascii="Arial" w:eastAsia="Times New Roman" w:hAnsi="Arial" w:cs="Arial"/>
          <w:b/>
          <w:kern w:val="0"/>
          <w:sz w:val="22"/>
          <w:szCs w:val="22"/>
          <w:lang w:eastAsia="ko-KR" w:bidi="ar-SA"/>
        </w:rPr>
      </w:pP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 xml:space="preserve">Qu'en déduisez-vous quant à la compétitivité de l'économie française ? Expliquez. </w:t>
      </w:r>
    </w:p>
    <w:p w:rsidR="00333602" w:rsidRPr="00333602" w:rsidRDefault="00333602" w:rsidP="00333602">
      <w:pPr>
        <w:widowControl/>
        <w:suppressAutoHyphens w:val="0"/>
        <w:autoSpaceDN/>
        <w:spacing w:line="360" w:lineRule="auto"/>
        <w:jc w:val="center"/>
        <w:textAlignment w:val="auto"/>
        <w:rPr>
          <w:rFonts w:ascii="Arial" w:eastAsia="Times New Roman" w:hAnsi="Arial" w:cs="Arial"/>
          <w:b/>
          <w:kern w:val="0"/>
          <w:sz w:val="22"/>
          <w:szCs w:val="22"/>
          <w:lang w:eastAsia="fr-FR" w:bidi="ar-SA"/>
        </w:rPr>
      </w:pPr>
    </w:p>
    <w:p w:rsidR="00333602" w:rsidRDefault="00333602" w:rsidP="00333602">
      <w:pPr>
        <w:widowControl/>
        <w:suppressAutoHyphens w:val="0"/>
        <w:autoSpaceDN/>
        <w:spacing w:line="360" w:lineRule="auto"/>
        <w:jc w:val="center"/>
        <w:textAlignment w:val="auto"/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b/>
          <w:kern w:val="0"/>
          <w:sz w:val="22"/>
          <w:szCs w:val="22"/>
          <w:lang w:eastAsia="fr-FR" w:bidi="ar-SA"/>
        </w:rPr>
        <w:t>Commerce extérieur de la France</w:t>
      </w:r>
      <w:r w:rsidR="003815F8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375920</wp:posOffset>
                </wp:positionV>
                <wp:extent cx="2717800" cy="3879215"/>
                <wp:effectExtent l="0" t="0" r="25400" b="26035"/>
                <wp:wrapTight wrapText="bothSides">
                  <wp:wrapPolygon edited="0">
                    <wp:start x="0" y="0"/>
                    <wp:lineTo x="0" y="21639"/>
                    <wp:lineTo x="21650" y="21639"/>
                    <wp:lineTo x="21650" y="0"/>
                    <wp:lineTo x="0" y="0"/>
                  </wp:wrapPolygon>
                </wp:wrapTight>
                <wp:docPr id="12" name="Cadr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0" cy="387921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33602" w:rsidRDefault="00333602" w:rsidP="00333602">
                            <w:pPr>
                              <w:pStyle w:val="Framecontents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Graphique 1 : Evolution des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exportation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, importation et solde de la Balance Commerciale (en milliards d'Euros)</w:t>
                            </w:r>
                          </w:p>
                          <w:p w:rsidR="00333602" w:rsidRDefault="003815F8" w:rsidP="00333602">
                            <w:pPr>
                              <w:pStyle w:val="Framecontents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540000" cy="3238500"/>
                                  <wp:effectExtent l="0" t="0" r="0" b="0"/>
                                  <wp:docPr id="1" name="images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0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lIns="0" tIns="0" rIns="0" bIns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dre1" o:spid="_x0000_s1026" type="#_x0000_t202" style="position:absolute;left:0;text-align:left;margin-left:28.15pt;margin-top:29.6pt;width:214pt;height:30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" filled="f" strokeweight=".02mm">
                <v:path arrowok="t"/>
                <v:textbox inset="0,0,0,0">
                  <w:txbxContent>
                    <w:p w:rsidR="00333602" w:rsidRDefault="00333602" w:rsidP="00333602">
                      <w:pPr>
                        <w:pStyle w:val="Framecontents"/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>Graphique 1 : Evolution des exportation, importation et solde de la Balance Commerciale (en milliards d'Euros)</w:t>
                      </w:r>
                    </w:p>
                    <w:p w:rsidR="00333602" w:rsidRDefault="003815F8" w:rsidP="00333602">
                      <w:pPr>
                        <w:pStyle w:val="Framecontents"/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>
                            <wp:extent cx="2540000" cy="3238500"/>
                            <wp:effectExtent l="0" t="0" r="0" b="0"/>
                            <wp:docPr id="1" name="images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00" cy="32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33602" w:rsidRPr="00333602" w:rsidRDefault="003815F8" w:rsidP="00333602">
      <w:pPr>
        <w:widowControl/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135255</wp:posOffset>
                </wp:positionV>
                <wp:extent cx="2751455" cy="3881755"/>
                <wp:effectExtent l="0" t="0" r="10795" b="25400"/>
                <wp:wrapTopAndBottom/>
                <wp:docPr id="14" name="Cadr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388175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33602" w:rsidRDefault="00333602" w:rsidP="00333602">
                            <w:pPr>
                              <w:pStyle w:val="Framecontents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Graphique 2 : Taux de couverture en valeur par groupe de produits</w:t>
                            </w:r>
                          </w:p>
                          <w:p w:rsidR="00333602" w:rsidRDefault="003815F8" w:rsidP="00333602">
                            <w:pPr>
                              <w:pStyle w:val="Framecontents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603500" cy="3492500"/>
                                  <wp:effectExtent l="0" t="0" r="6350" b="0"/>
                                  <wp:docPr id="2" name="images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bright="2000" contrast="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0" cy="349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dre2" o:spid="_x0000_s1027" type="#_x0000_t202" style="position:absolute;left:0;text-align:left;margin-left:283.85pt;margin-top:10.65pt;width:216.65pt;height:305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" filled="f" strokeweight=".02mm">
                <v:path arrowok="t"/>
                <v:textbox style="mso-fit-shape-to-text:t" inset="0,0,0,0">
                  <w:txbxContent>
                    <w:p w:rsidR="00333602" w:rsidRDefault="00333602" w:rsidP="00333602">
                      <w:pPr>
                        <w:pStyle w:val="Framecontents"/>
                        <w:jc w:val="both"/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>Graphique 2 : Taux de couverture en valeur par groupe de produits</w:t>
                      </w:r>
                    </w:p>
                    <w:p w:rsidR="00333602" w:rsidRDefault="003815F8" w:rsidP="00333602">
                      <w:pPr>
                        <w:pStyle w:val="Framecontents"/>
                        <w:jc w:val="both"/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>
                            <wp:extent cx="2603500" cy="3492500"/>
                            <wp:effectExtent l="0" t="0" r="6350" b="0"/>
                            <wp:docPr id="2" name="images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bright="2000" contrast="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500" cy="349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333602" w:rsidRPr="00333602" w:rsidRDefault="00333602" w:rsidP="00333602">
      <w:pPr>
        <w:ind w:firstLine="708"/>
        <w:rPr>
          <w:rFonts w:ascii="Arial Narrow" w:hAnsi="Arial Narrow"/>
          <w:b/>
          <w:sz w:val="16"/>
          <w:szCs w:val="16"/>
        </w:rPr>
      </w:pPr>
      <w:r w:rsidRPr="00333602">
        <w:rPr>
          <w:rFonts w:ascii="Arial Narrow" w:hAnsi="Arial Narrow"/>
          <w:b/>
          <w:sz w:val="16"/>
          <w:szCs w:val="16"/>
        </w:rPr>
        <w:t xml:space="preserve">Graphique tiré </w:t>
      </w:r>
      <w:proofErr w:type="gramStart"/>
      <w:r w:rsidRPr="00333602">
        <w:rPr>
          <w:rFonts w:ascii="Arial Narrow" w:hAnsi="Arial Narrow"/>
          <w:b/>
          <w:sz w:val="16"/>
          <w:szCs w:val="16"/>
        </w:rPr>
        <w:t>de Alternatives</w:t>
      </w:r>
      <w:proofErr w:type="gramEnd"/>
      <w:r w:rsidRPr="00333602">
        <w:rPr>
          <w:rFonts w:ascii="Arial Narrow" w:hAnsi="Arial Narrow"/>
          <w:b/>
          <w:sz w:val="16"/>
          <w:szCs w:val="16"/>
        </w:rPr>
        <w:t xml:space="preserve"> économiques,</w:t>
      </w:r>
    </w:p>
    <w:p w:rsidR="0072526E" w:rsidRPr="00333602" w:rsidRDefault="00333602" w:rsidP="00333602">
      <w:pPr>
        <w:ind w:firstLine="708"/>
        <w:rPr>
          <w:rFonts w:ascii="Arial Narrow" w:hAnsi="Arial Narrow"/>
          <w:b/>
          <w:sz w:val="16"/>
          <w:szCs w:val="16"/>
        </w:rPr>
      </w:pPr>
      <w:proofErr w:type="spellStart"/>
      <w:r>
        <w:rPr>
          <w:rFonts w:ascii="Arial Narrow" w:hAnsi="Arial Narrow"/>
          <w:b/>
          <w:sz w:val="16"/>
          <w:szCs w:val="16"/>
        </w:rPr>
        <w:t>H</w:t>
      </w:r>
      <w:r w:rsidRPr="00333602">
        <w:rPr>
          <w:rFonts w:ascii="Arial Narrow" w:hAnsi="Arial Narrow"/>
          <w:b/>
          <w:sz w:val="16"/>
          <w:szCs w:val="16"/>
        </w:rPr>
        <w:t>ors série</w:t>
      </w:r>
      <w:proofErr w:type="spellEnd"/>
      <w:r w:rsidRPr="00333602">
        <w:rPr>
          <w:rFonts w:ascii="Arial Narrow" w:hAnsi="Arial Narrow"/>
          <w:b/>
          <w:sz w:val="16"/>
          <w:szCs w:val="16"/>
        </w:rPr>
        <w:t xml:space="preserve"> 90, 2011</w:t>
      </w: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333602" w:rsidRPr="00333602" w:rsidRDefault="00333602" w:rsidP="00554BEC">
      <w:pPr>
        <w:widowControl/>
        <w:numPr>
          <w:ilvl w:val="0"/>
          <w:numId w:val="25"/>
        </w:numPr>
        <w:tabs>
          <w:tab w:val="left" w:pos="284"/>
          <w:tab w:val="left" w:pos="993"/>
        </w:tabs>
        <w:suppressAutoHyphens w:val="0"/>
        <w:autoSpaceDN/>
        <w:spacing w:line="360" w:lineRule="auto"/>
        <w:ind w:hanging="11"/>
        <w:contextualSpacing/>
        <w:jc w:val="both"/>
        <w:textAlignment w:val="auto"/>
        <w:rPr>
          <w:rFonts w:ascii="Arial" w:eastAsia="Times New Roman" w:hAnsi="Arial" w:cs="Arial"/>
          <w:b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b/>
          <w:kern w:val="0"/>
          <w:sz w:val="22"/>
          <w:szCs w:val="22"/>
          <w:lang w:eastAsia="fr-FR" w:bidi="ar-SA"/>
        </w:rPr>
        <w:t>Etude de texte (15 points)</w:t>
      </w:r>
    </w:p>
    <w:p w:rsidR="00333602" w:rsidRPr="00333602" w:rsidRDefault="00333602" w:rsidP="00333602">
      <w:pPr>
        <w:widowControl/>
        <w:suppressAutoHyphens w:val="0"/>
        <w:autoSpaceDN/>
        <w:spacing w:line="360" w:lineRule="auto"/>
        <w:contextualSpacing/>
        <w:jc w:val="both"/>
        <w:textAlignment w:val="auto"/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Jacques Adda, « Atterrissage délicat pour l’économie chinoise », Alternatives économiques, n°308, décembre 2011, pp. 72-73.</w:t>
      </w:r>
    </w:p>
    <w:p w:rsidR="00333602" w:rsidRPr="00333602" w:rsidRDefault="00333602" w:rsidP="00333602">
      <w:pPr>
        <w:widowControl/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 w:bidi="ar-SA"/>
        </w:rPr>
        <w:t>En utilisant vos connaissances</w:t>
      </w: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  <w:t xml:space="preserve"> et </w:t>
      </w: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 w:bidi="ar-SA"/>
        </w:rPr>
        <w:t>en vous appuyant sur les documents joints</w:t>
      </w: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  <w:t>, vous apport</w:t>
      </w: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  <w:t>e</w:t>
      </w: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  <w:t>rez une réponse argumentée aux questions ci-dessous.</w:t>
      </w:r>
    </w:p>
    <w:p w:rsidR="00333602" w:rsidRPr="00333602" w:rsidRDefault="00333602" w:rsidP="00333602">
      <w:pPr>
        <w:widowControl/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  <w:t>Atte</w:t>
      </w: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  <w:t>n</w:t>
      </w: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  <w:t>tion, prenez du r</w:t>
      </w: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  <w:t>e</w:t>
      </w: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  <w:t>cul : il ne s’agit pas de recopier le texte mais de refo</w:t>
      </w: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  <w:t>r</w:t>
      </w: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  <w:t>muler les idées à l’aide de vos propres mots (pas de paraphrase). Cette capacité à prendre du recul sera év</w:t>
      </w: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  <w:t>a</w:t>
      </w:r>
      <w:r w:rsidRPr="00333602">
        <w:rPr>
          <w:rFonts w:ascii="Arial" w:eastAsia="Times New Roman" w:hAnsi="Arial" w:cs="Arial"/>
          <w:b/>
          <w:bCs/>
          <w:kern w:val="0"/>
          <w:sz w:val="22"/>
          <w:szCs w:val="22"/>
          <w:lang w:eastAsia="fr-FR" w:bidi="ar-SA"/>
        </w:rPr>
        <w:t>luée.</w:t>
      </w:r>
    </w:p>
    <w:p w:rsidR="00333602" w:rsidRPr="00333602" w:rsidRDefault="00333602" w:rsidP="00333602">
      <w:pPr>
        <w:widowControl/>
        <w:suppressAutoHyphens w:val="0"/>
        <w:autoSpaceDN/>
        <w:spacing w:line="360" w:lineRule="auto"/>
        <w:contextualSpacing/>
        <w:jc w:val="both"/>
        <w:textAlignment w:val="auto"/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</w:pPr>
    </w:p>
    <w:p w:rsidR="00333602" w:rsidRPr="00333602" w:rsidRDefault="00333602" w:rsidP="00333602">
      <w:pPr>
        <w:widowControl/>
        <w:suppressAutoHyphens w:val="0"/>
        <w:autoSpaceDN/>
        <w:spacing w:line="360" w:lineRule="auto"/>
        <w:contextualSpacing/>
        <w:jc w:val="both"/>
        <w:textAlignment w:val="auto"/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1 – Comment le gouvernement chinois lutte-t-il actuellement contre l’inflation ? Pourquoi ne recourt-il pas à l’instrument de politique économique le plus couramment utilisé pour lutter contre l’inflation ? (3 points)</w:t>
      </w:r>
    </w:p>
    <w:p w:rsidR="00333602" w:rsidRPr="00333602" w:rsidRDefault="00333602" w:rsidP="00333602">
      <w:pPr>
        <w:widowControl/>
        <w:suppressAutoHyphens w:val="0"/>
        <w:autoSpaceDN/>
        <w:spacing w:line="360" w:lineRule="auto"/>
        <w:contextualSpacing/>
        <w:jc w:val="both"/>
        <w:textAlignment w:val="auto"/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2 – Indiquez (en les explicitant) quelles sont les difficultés de financement actuelles des petites et moyennes entreprises chinoises. Quelle solution de financement ont-elles trouvé pour pallier ces difficultés ? Avec quels effets pervers ? (4 points)</w:t>
      </w:r>
    </w:p>
    <w:p w:rsidR="00333602" w:rsidRPr="00333602" w:rsidRDefault="00333602" w:rsidP="00333602">
      <w:pPr>
        <w:widowControl/>
        <w:suppressAutoHyphens w:val="0"/>
        <w:autoSpaceDN/>
        <w:spacing w:line="360" w:lineRule="auto"/>
        <w:contextualSpacing/>
        <w:jc w:val="both"/>
        <w:textAlignment w:val="auto"/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3 – Pourquoi est-ce que la « situation financière du secteur public n’est guère plus brillante » que celle du secteur privé ? Avec quelle conséquence ? (3 points)</w:t>
      </w:r>
    </w:p>
    <w:p w:rsidR="00333602" w:rsidRPr="00333602" w:rsidRDefault="00333602" w:rsidP="00333602">
      <w:pPr>
        <w:widowControl/>
        <w:suppressAutoHyphens w:val="0"/>
        <w:autoSpaceDN/>
        <w:spacing w:line="360" w:lineRule="auto"/>
        <w:contextualSpacing/>
        <w:jc w:val="both"/>
        <w:textAlignment w:val="auto"/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4 – Pourquoi en cas d’aggravation de la crise en Europe et aux Etats-Unis (qui pourrait se traduire par une récession), les autorités chinoises suspendraient-elles le processus d’appréciation du taux de change de la monnaie chinoise (le yuan) ? (2 points)</w:t>
      </w:r>
    </w:p>
    <w:p w:rsidR="00333602" w:rsidRPr="00333602" w:rsidRDefault="00333602" w:rsidP="00333602">
      <w:pPr>
        <w:widowControl/>
        <w:suppressAutoHyphens w:val="0"/>
        <w:autoSpaceDN/>
        <w:spacing w:line="360" w:lineRule="auto"/>
        <w:contextualSpacing/>
        <w:jc w:val="both"/>
        <w:textAlignment w:val="auto"/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5 – Pensez-vous que les difficultés actuelles de l’économie chinoise risquent de peser sur la croi</w:t>
      </w: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s</w:t>
      </w: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sance chinoise et donc de limiter sa capacité à tirer l’économie mondiale ? Vous apporterez à cette question une réponse argumentée et nuancée. (3 points)</w:t>
      </w:r>
    </w:p>
    <w:p w:rsidR="00333602" w:rsidRPr="00333602" w:rsidRDefault="00333602" w:rsidP="00333602">
      <w:pPr>
        <w:widowControl/>
        <w:suppressAutoHyphens w:val="0"/>
        <w:autoSpaceDN/>
        <w:spacing w:line="360" w:lineRule="auto"/>
        <w:contextualSpacing/>
        <w:jc w:val="both"/>
        <w:textAlignment w:val="auto"/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</w:pPr>
    </w:p>
    <w:p w:rsidR="00333602" w:rsidRPr="00333602" w:rsidRDefault="00333602" w:rsidP="00333602">
      <w:pPr>
        <w:widowControl/>
        <w:suppressAutoHyphens w:val="0"/>
        <w:autoSpaceDN/>
        <w:spacing w:line="360" w:lineRule="auto"/>
        <w:contextualSpacing/>
        <w:jc w:val="both"/>
        <w:textAlignment w:val="auto"/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 xml:space="preserve">Questions subsidiaires : </w:t>
      </w:r>
    </w:p>
    <w:p w:rsidR="00333602" w:rsidRPr="00333602" w:rsidRDefault="00333602" w:rsidP="00333602">
      <w:pPr>
        <w:widowControl/>
        <w:numPr>
          <w:ilvl w:val="0"/>
          <w:numId w:val="26"/>
        </w:numPr>
        <w:suppressAutoHyphens w:val="0"/>
        <w:autoSpaceDN/>
        <w:spacing w:line="360" w:lineRule="auto"/>
        <w:contextualSpacing/>
        <w:jc w:val="both"/>
        <w:textAlignment w:val="auto"/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Donnez une fourchette pour les prévisions de croissance de l’économie française (ou eur</w:t>
      </w: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o</w:t>
      </w: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péenne) pour 2012.</w:t>
      </w:r>
    </w:p>
    <w:p w:rsidR="00333602" w:rsidRPr="00333602" w:rsidRDefault="00333602" w:rsidP="00333602">
      <w:pPr>
        <w:widowControl/>
        <w:numPr>
          <w:ilvl w:val="0"/>
          <w:numId w:val="26"/>
        </w:numPr>
        <w:suppressAutoHyphens w:val="0"/>
        <w:autoSpaceDN/>
        <w:spacing w:line="360" w:lineRule="auto"/>
        <w:contextualSpacing/>
        <w:jc w:val="both"/>
        <w:textAlignment w:val="auto"/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</w:pP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Quel est le taux de chômage de l’économie française (ou taux de chômage moyen en E</w:t>
      </w: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u</w:t>
      </w:r>
      <w:r w:rsidRPr="00333602">
        <w:rPr>
          <w:rFonts w:ascii="Arial" w:eastAsia="Times New Roman" w:hAnsi="Arial" w:cs="Arial"/>
          <w:kern w:val="0"/>
          <w:sz w:val="22"/>
          <w:szCs w:val="22"/>
          <w:lang w:eastAsia="fr-FR" w:bidi="ar-SA"/>
        </w:rPr>
        <w:t>rope) ?</w:t>
      </w:r>
    </w:p>
    <w:p w:rsidR="0072526E" w:rsidRDefault="003815F8">
      <w:pPr>
        <w:rPr>
          <w:rFonts w:ascii="Arial Narrow" w:hAnsi="Arial Narrow"/>
          <w:b/>
        </w:rPr>
      </w:pPr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-363855</wp:posOffset>
            </wp:positionV>
            <wp:extent cx="5562600" cy="7677785"/>
            <wp:effectExtent l="0" t="0" r="0" b="0"/>
            <wp:wrapTight wrapText="bothSides">
              <wp:wrapPolygon edited="0">
                <wp:start x="0" y="0"/>
                <wp:lineTo x="0" y="21545"/>
                <wp:lineTo x="21526" y="21545"/>
                <wp:lineTo x="21526" y="0"/>
                <wp:lineTo x="0" y="0"/>
              </wp:wrapPolygon>
            </wp:wrapTight>
            <wp:docPr id="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</w:pPr>
    </w:p>
    <w:p w:rsidR="0072526E" w:rsidRDefault="0072526E">
      <w:pPr>
        <w:rPr>
          <w:rFonts w:ascii="Arial Narrow" w:hAnsi="Arial Narrow"/>
          <w:b/>
        </w:rPr>
        <w:sectPr w:rsidR="0072526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129" w:right="1041" w:bottom="1134" w:left="1417" w:header="719" w:footer="720" w:gutter="0"/>
          <w:cols w:space="720"/>
        </w:sectPr>
      </w:pPr>
      <w:r>
        <w:rPr>
          <w:rFonts w:ascii="Arial Narrow" w:hAnsi="Arial Narrow"/>
          <w:b/>
        </w:rPr>
        <w:br w:type="page"/>
      </w:r>
    </w:p>
    <w:p w:rsidR="0072526E" w:rsidRDefault="0072526E">
      <w:pPr>
        <w:rPr>
          <w:rFonts w:ascii="Arial Narrow" w:eastAsia="Times New Roman" w:hAnsi="Arial Narrow" w:cs="Times New Roman"/>
          <w:b/>
          <w:lang w:bidi="ar-SA"/>
        </w:rPr>
      </w:pPr>
    </w:p>
    <w:p w:rsidR="004F632B" w:rsidRDefault="00DC6651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Aucun document n’est autorisé</w:t>
      </w:r>
    </w:p>
    <w:p w:rsidR="004F632B" w:rsidRDefault="00DC6651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jc w:val="center"/>
      </w:pPr>
      <w:proofErr w:type="gramStart"/>
      <w:r>
        <w:rPr>
          <w:rFonts w:ascii="Arial Narrow" w:hAnsi="Arial Narrow"/>
          <w:b/>
        </w:rPr>
        <w:t>à</w:t>
      </w:r>
      <w:proofErr w:type="gramEnd"/>
      <w:r>
        <w:rPr>
          <w:rFonts w:ascii="Arial Narrow" w:hAnsi="Arial Narrow"/>
          <w:b/>
        </w:rPr>
        <w:t xml:space="preserve"> l’exception de </w:t>
      </w:r>
      <w:r>
        <w:rPr>
          <w:rFonts w:ascii="Arial Narrow" w:hAnsi="Arial Narrow"/>
          <w:b/>
          <w:i/>
        </w:rPr>
        <w:t>dictionnaires de français</w:t>
      </w:r>
      <w:r>
        <w:rPr>
          <w:rFonts w:ascii="Arial Narrow" w:hAnsi="Arial Narrow"/>
          <w:b/>
        </w:rPr>
        <w:t xml:space="preserve"> pour les étudiants de langues étrangères</w:t>
      </w:r>
    </w:p>
    <w:p w:rsidR="004F632B" w:rsidRDefault="004F632B">
      <w:pPr>
        <w:pStyle w:val="Standard"/>
        <w:autoSpaceDE w:val="0"/>
        <w:spacing w:line="360" w:lineRule="auto"/>
        <w:jc w:val="both"/>
        <w:rPr>
          <w:rFonts w:ascii="Arial" w:hAnsi="Arial" w:cs="Arial"/>
          <w:b/>
          <w:sz w:val="22"/>
          <w:szCs w:val="22"/>
          <w:lang w:eastAsia="ko-KR"/>
        </w:rPr>
      </w:pPr>
    </w:p>
    <w:p w:rsidR="004F632B" w:rsidRDefault="00DC6651">
      <w:pPr>
        <w:pStyle w:val="Standard"/>
        <w:numPr>
          <w:ilvl w:val="0"/>
          <w:numId w:val="21"/>
        </w:numPr>
        <w:autoSpaceDE w:val="0"/>
        <w:spacing w:line="360" w:lineRule="auto"/>
        <w:jc w:val="both"/>
        <w:rPr>
          <w:rFonts w:ascii="Arial" w:hAnsi="Arial" w:cs="Arial"/>
          <w:b/>
          <w:sz w:val="22"/>
          <w:szCs w:val="22"/>
          <w:lang w:eastAsia="ko-KR"/>
        </w:rPr>
      </w:pPr>
      <w:r>
        <w:rPr>
          <w:rFonts w:ascii="Arial" w:hAnsi="Arial" w:cs="Arial"/>
          <w:b/>
          <w:sz w:val="22"/>
          <w:szCs w:val="22"/>
          <w:lang w:eastAsia="ko-KR"/>
        </w:rPr>
        <w:t>Le Marché (2 points)</w:t>
      </w:r>
    </w:p>
    <w:p w:rsidR="004F632B" w:rsidRDefault="00DC6651">
      <w:pPr>
        <w:pStyle w:val="Standard"/>
        <w:numPr>
          <w:ilvl w:val="2"/>
          <w:numId w:val="21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>Comment fonctionne la « Loi de l'Offre et de la Demande » ? (1 point)</w:t>
      </w:r>
    </w:p>
    <w:p w:rsidR="004F632B" w:rsidRDefault="00DC6651">
      <w:pPr>
        <w:pStyle w:val="Standard"/>
        <w:numPr>
          <w:ilvl w:val="2"/>
          <w:numId w:val="21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>Quelles sont les hypothèses de la concurrence pure et parfaite nécessaires au bon fonctionnement de la loi de l'offre et de la demande ? (1 point)</w:t>
      </w:r>
    </w:p>
    <w:p w:rsidR="004F632B" w:rsidRDefault="004F632B">
      <w:pPr>
        <w:pStyle w:val="Standard"/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</w:p>
    <w:p w:rsidR="004F632B" w:rsidRDefault="00DC6651">
      <w:pPr>
        <w:pStyle w:val="Standard"/>
        <w:numPr>
          <w:ilvl w:val="0"/>
          <w:numId w:val="21"/>
        </w:numPr>
        <w:autoSpaceDE w:val="0"/>
        <w:spacing w:line="360" w:lineRule="auto"/>
        <w:jc w:val="both"/>
        <w:rPr>
          <w:rFonts w:ascii="Arial" w:hAnsi="Arial" w:cs="Arial"/>
          <w:b/>
          <w:sz w:val="22"/>
          <w:szCs w:val="22"/>
          <w:lang w:eastAsia="ko-KR"/>
        </w:rPr>
      </w:pPr>
      <w:r>
        <w:rPr>
          <w:rFonts w:ascii="Arial" w:hAnsi="Arial" w:cs="Arial"/>
          <w:b/>
          <w:sz w:val="22"/>
          <w:szCs w:val="22"/>
          <w:lang w:eastAsia="ko-KR"/>
        </w:rPr>
        <w:t>La Croissance (4 points).</w:t>
      </w:r>
    </w:p>
    <w:tbl>
      <w:tblPr>
        <w:tblW w:w="850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0"/>
        <w:gridCol w:w="2572"/>
        <w:gridCol w:w="2125"/>
        <w:gridCol w:w="2127"/>
      </w:tblGrid>
      <w:tr w:rsidR="004F632B">
        <w:trPr>
          <w:jc w:val="center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32B" w:rsidRDefault="00DC6651">
            <w:pPr>
              <w:pStyle w:val="TableContents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Année</w:t>
            </w: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32B" w:rsidRDefault="00DC6651">
            <w:pPr>
              <w:pStyle w:val="TableContents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Production Totale (en volume)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32B" w:rsidRDefault="00DC6651">
            <w:pPr>
              <w:pStyle w:val="TableContents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Indice des Prix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32B" w:rsidRDefault="00DC6651">
            <w:pPr>
              <w:pStyle w:val="TableContents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Population</w:t>
            </w:r>
          </w:p>
        </w:tc>
      </w:tr>
      <w:tr w:rsidR="004F632B">
        <w:trPr>
          <w:jc w:val="center"/>
        </w:trPr>
        <w:tc>
          <w:tcPr>
            <w:tcW w:w="16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32B" w:rsidRDefault="00DC6651">
            <w:pPr>
              <w:pStyle w:val="TableContents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2005</w:t>
            </w:r>
          </w:p>
        </w:tc>
        <w:tc>
          <w:tcPr>
            <w:tcW w:w="25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32B" w:rsidRDefault="00DC6651">
            <w:pPr>
              <w:pStyle w:val="TableContents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1000</w:t>
            </w:r>
          </w:p>
        </w:tc>
        <w:tc>
          <w:tcPr>
            <w:tcW w:w="21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32B" w:rsidRDefault="00DC6651">
            <w:pPr>
              <w:pStyle w:val="TableContents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10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32B" w:rsidRDefault="00DC6651">
            <w:pPr>
              <w:pStyle w:val="TableContents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100</w:t>
            </w:r>
          </w:p>
        </w:tc>
      </w:tr>
      <w:tr w:rsidR="004F632B">
        <w:trPr>
          <w:jc w:val="center"/>
        </w:trPr>
        <w:tc>
          <w:tcPr>
            <w:tcW w:w="16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32B" w:rsidRDefault="00DC6651">
            <w:pPr>
              <w:pStyle w:val="TableContents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2011</w:t>
            </w:r>
          </w:p>
        </w:tc>
        <w:tc>
          <w:tcPr>
            <w:tcW w:w="25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32B" w:rsidRDefault="00DC6651">
            <w:pPr>
              <w:pStyle w:val="TableContents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1100</w:t>
            </w:r>
          </w:p>
        </w:tc>
        <w:tc>
          <w:tcPr>
            <w:tcW w:w="21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32B" w:rsidRDefault="00DC6651">
            <w:pPr>
              <w:pStyle w:val="TableContents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15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32B" w:rsidRDefault="00DC6651">
            <w:pPr>
              <w:pStyle w:val="TableContents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150</w:t>
            </w:r>
          </w:p>
        </w:tc>
      </w:tr>
    </w:tbl>
    <w:p w:rsidR="004F632B" w:rsidRDefault="00DC6651">
      <w:pPr>
        <w:pStyle w:val="Standard"/>
        <w:autoSpaceDE w:val="0"/>
        <w:spacing w:line="360" w:lineRule="auto"/>
        <w:jc w:val="both"/>
        <w:rPr>
          <w:rFonts w:ascii="Arial" w:hAnsi="Arial" w:cs="Arial"/>
          <w:b/>
          <w:sz w:val="22"/>
          <w:szCs w:val="22"/>
          <w:lang w:eastAsia="ko-KR"/>
        </w:rPr>
      </w:pPr>
      <w:r>
        <w:rPr>
          <w:rFonts w:ascii="Arial" w:hAnsi="Arial" w:cs="Arial"/>
          <w:b/>
          <w:sz w:val="22"/>
          <w:szCs w:val="22"/>
          <w:lang w:eastAsia="ko-KR"/>
        </w:rPr>
        <w:t xml:space="preserve"> </w:t>
      </w:r>
    </w:p>
    <w:p w:rsidR="004F632B" w:rsidRDefault="00DC6651">
      <w:pPr>
        <w:pStyle w:val="Standard"/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ab/>
        <w:t xml:space="preserve">      1. En utilisant les données du tableau ci-dessus, calculez les indicateurs suivants (2 points):</w:t>
      </w:r>
    </w:p>
    <w:p w:rsidR="004F632B" w:rsidRDefault="00DC6651">
      <w:pPr>
        <w:pStyle w:val="Standard"/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proofErr w:type="gramStart"/>
      <w:r>
        <w:rPr>
          <w:rFonts w:ascii="Arial" w:hAnsi="Arial" w:cs="Arial"/>
          <w:sz w:val="20"/>
          <w:szCs w:val="20"/>
          <w:lang w:eastAsia="ko-KR"/>
        </w:rPr>
        <w:t>a</w:t>
      </w:r>
      <w:proofErr w:type="gramEnd"/>
      <w:r>
        <w:rPr>
          <w:rFonts w:ascii="Arial" w:hAnsi="Arial" w:cs="Arial"/>
          <w:sz w:val="20"/>
          <w:szCs w:val="20"/>
          <w:lang w:eastAsia="ko-KR"/>
        </w:rPr>
        <w:t>. Le PIB nominal (ou PIB en valeur) en 2011.</w:t>
      </w:r>
    </w:p>
    <w:p w:rsidR="004F632B" w:rsidRDefault="00DC6651">
      <w:pPr>
        <w:pStyle w:val="Standard"/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proofErr w:type="gramStart"/>
      <w:r>
        <w:rPr>
          <w:rFonts w:ascii="Arial" w:hAnsi="Arial" w:cs="Arial"/>
          <w:sz w:val="20"/>
          <w:szCs w:val="20"/>
          <w:lang w:eastAsia="ko-KR"/>
        </w:rPr>
        <w:t>b</w:t>
      </w:r>
      <w:proofErr w:type="gramEnd"/>
      <w:r>
        <w:rPr>
          <w:rFonts w:ascii="Arial" w:hAnsi="Arial" w:cs="Arial"/>
          <w:sz w:val="20"/>
          <w:szCs w:val="20"/>
          <w:lang w:eastAsia="ko-KR"/>
        </w:rPr>
        <w:t>. Le PIB nominal par tête en 2011.</w:t>
      </w:r>
    </w:p>
    <w:p w:rsidR="004F632B" w:rsidRDefault="00DC6651">
      <w:pPr>
        <w:pStyle w:val="Standard"/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proofErr w:type="gramStart"/>
      <w:r>
        <w:rPr>
          <w:rFonts w:ascii="Arial" w:hAnsi="Arial" w:cs="Arial"/>
          <w:sz w:val="20"/>
          <w:szCs w:val="20"/>
          <w:lang w:eastAsia="ko-KR"/>
        </w:rPr>
        <w:t>c</w:t>
      </w:r>
      <w:proofErr w:type="gramEnd"/>
      <w:r>
        <w:rPr>
          <w:rFonts w:ascii="Arial" w:hAnsi="Arial" w:cs="Arial"/>
          <w:sz w:val="20"/>
          <w:szCs w:val="20"/>
          <w:lang w:eastAsia="ko-KR"/>
        </w:rPr>
        <w:t>. Le PIB réel en 2011 (année de référence 2005).</w:t>
      </w:r>
    </w:p>
    <w:p w:rsidR="004F632B" w:rsidRDefault="00DC6651">
      <w:pPr>
        <w:pStyle w:val="Standard"/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>d. Le taux de croissance du PIB réel entre 2005 et 2011.</w:t>
      </w:r>
    </w:p>
    <w:p w:rsidR="004F632B" w:rsidRDefault="00DC6651">
      <w:pPr>
        <w:pStyle w:val="Standard"/>
        <w:numPr>
          <w:ilvl w:val="2"/>
          <w:numId w:val="22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>Qu'entend-on par « récession économique » (1 point):</w:t>
      </w:r>
    </w:p>
    <w:p w:rsidR="004F632B" w:rsidRDefault="00DC6651">
      <w:pPr>
        <w:pStyle w:val="Standard"/>
        <w:numPr>
          <w:ilvl w:val="2"/>
          <w:numId w:val="22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 xml:space="preserve">Quels types de cycles économiques ont été mis en évidence par Kondratiev et comment Schumpeter les explique </w:t>
      </w:r>
      <w:proofErr w:type="spellStart"/>
      <w:r>
        <w:rPr>
          <w:rFonts w:ascii="Arial" w:hAnsi="Arial" w:cs="Arial"/>
          <w:sz w:val="20"/>
          <w:szCs w:val="20"/>
          <w:lang w:eastAsia="ko-KR"/>
        </w:rPr>
        <w:t>t'il</w:t>
      </w:r>
      <w:proofErr w:type="spellEnd"/>
      <w:r>
        <w:rPr>
          <w:rFonts w:ascii="Arial" w:hAnsi="Arial" w:cs="Arial"/>
          <w:sz w:val="20"/>
          <w:szCs w:val="20"/>
          <w:lang w:eastAsia="ko-KR"/>
        </w:rPr>
        <w:t xml:space="preserve"> ? (1 point)</w:t>
      </w:r>
    </w:p>
    <w:p w:rsidR="004F632B" w:rsidRDefault="004F632B">
      <w:pPr>
        <w:pStyle w:val="Standard"/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</w:p>
    <w:p w:rsidR="004F632B" w:rsidRDefault="00DC6651">
      <w:pPr>
        <w:pStyle w:val="Standard"/>
        <w:numPr>
          <w:ilvl w:val="0"/>
          <w:numId w:val="23"/>
        </w:numPr>
        <w:autoSpaceDE w:val="0"/>
        <w:spacing w:line="360" w:lineRule="auto"/>
        <w:jc w:val="both"/>
        <w:rPr>
          <w:rFonts w:ascii="Arial" w:hAnsi="Arial" w:cs="Arial"/>
          <w:b/>
          <w:sz w:val="22"/>
          <w:szCs w:val="22"/>
          <w:lang w:eastAsia="ko-KR"/>
        </w:rPr>
      </w:pPr>
      <w:r>
        <w:rPr>
          <w:rFonts w:ascii="Arial" w:hAnsi="Arial" w:cs="Arial"/>
          <w:b/>
          <w:sz w:val="22"/>
          <w:szCs w:val="22"/>
          <w:lang w:eastAsia="ko-KR"/>
        </w:rPr>
        <w:t>Le Chômage (4 points)</w:t>
      </w:r>
    </w:p>
    <w:p w:rsidR="004F632B" w:rsidRDefault="00DC6651">
      <w:pPr>
        <w:pStyle w:val="Standard"/>
        <w:numPr>
          <w:ilvl w:val="2"/>
          <w:numId w:val="21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>Définissez brièvement le « chômage frictionnel » (1 point)</w:t>
      </w:r>
    </w:p>
    <w:p w:rsidR="004F632B" w:rsidRDefault="00DC6651">
      <w:pPr>
        <w:pStyle w:val="Standard"/>
        <w:numPr>
          <w:ilvl w:val="2"/>
          <w:numId w:val="21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>Pourquoi les Keynésiens qualifient-ils le chômage d' « involontaire » ? (1 point)</w:t>
      </w:r>
    </w:p>
    <w:p w:rsidR="004F632B" w:rsidRDefault="00DC6651">
      <w:pPr>
        <w:pStyle w:val="Standard"/>
        <w:numPr>
          <w:ilvl w:val="2"/>
          <w:numId w:val="21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ko-KR"/>
        </w:rPr>
        <w:t>Montrez en quoi, pour les Keynésiens, baisser le salaire nominal conduit à augmenter le chômage plutôt que de le réduire. (2 points)</w:t>
      </w:r>
    </w:p>
    <w:p w:rsidR="004F632B" w:rsidRDefault="004F632B">
      <w:pPr>
        <w:pStyle w:val="Standard"/>
        <w:autoSpaceDE w:val="0"/>
        <w:spacing w:line="360" w:lineRule="auto"/>
        <w:jc w:val="both"/>
        <w:rPr>
          <w:rFonts w:ascii="Arial" w:hAnsi="Arial" w:cs="Arial"/>
          <w:b/>
          <w:sz w:val="20"/>
          <w:szCs w:val="20"/>
          <w:lang w:eastAsia="ko-KR"/>
        </w:rPr>
      </w:pPr>
    </w:p>
    <w:p w:rsidR="004F632B" w:rsidRDefault="00DC6651">
      <w:pPr>
        <w:pStyle w:val="Standard"/>
        <w:numPr>
          <w:ilvl w:val="0"/>
          <w:numId w:val="21"/>
        </w:numPr>
        <w:autoSpaceDE w:val="0"/>
        <w:spacing w:line="360" w:lineRule="auto"/>
        <w:jc w:val="both"/>
        <w:rPr>
          <w:rFonts w:ascii="Arial" w:hAnsi="Arial" w:cs="Arial"/>
          <w:b/>
          <w:sz w:val="22"/>
          <w:szCs w:val="22"/>
          <w:lang w:eastAsia="ko-KR"/>
        </w:rPr>
      </w:pPr>
      <w:r>
        <w:rPr>
          <w:rFonts w:ascii="Arial" w:hAnsi="Arial" w:cs="Arial"/>
          <w:b/>
          <w:sz w:val="22"/>
          <w:szCs w:val="22"/>
          <w:lang w:eastAsia="ko-KR"/>
        </w:rPr>
        <w:t>L'Innovation (2 points)</w:t>
      </w:r>
    </w:p>
    <w:p w:rsidR="004F632B" w:rsidRDefault="00DC6651">
      <w:pPr>
        <w:pStyle w:val="Standard"/>
        <w:numPr>
          <w:ilvl w:val="2"/>
          <w:numId w:val="21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>Rappelez les quatre types d'innovation retenus par le manuel d'Oslo (1 point)</w:t>
      </w:r>
    </w:p>
    <w:p w:rsidR="004F632B" w:rsidRDefault="00DC6651">
      <w:pPr>
        <w:pStyle w:val="Standard"/>
        <w:numPr>
          <w:ilvl w:val="2"/>
          <w:numId w:val="21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 xml:space="preserve">En quoi l'approche du processus d'innovation décrite par </w:t>
      </w:r>
      <w:proofErr w:type="spellStart"/>
      <w:r>
        <w:rPr>
          <w:rFonts w:ascii="Arial" w:hAnsi="Arial" w:cs="Arial"/>
          <w:sz w:val="20"/>
          <w:szCs w:val="20"/>
          <w:lang w:eastAsia="ko-KR"/>
        </w:rPr>
        <w:t>Schmookler</w:t>
      </w:r>
      <w:proofErr w:type="spellEnd"/>
      <w:r>
        <w:rPr>
          <w:rFonts w:ascii="Arial" w:hAnsi="Arial" w:cs="Arial"/>
          <w:sz w:val="20"/>
          <w:szCs w:val="20"/>
          <w:lang w:eastAsia="ko-KR"/>
        </w:rPr>
        <w:t xml:space="preserve"> diffère </w:t>
      </w:r>
      <w:proofErr w:type="spellStart"/>
      <w:r>
        <w:rPr>
          <w:rFonts w:ascii="Arial" w:hAnsi="Arial" w:cs="Arial"/>
          <w:sz w:val="20"/>
          <w:szCs w:val="20"/>
          <w:lang w:eastAsia="ko-KR"/>
        </w:rPr>
        <w:t>t'elle</w:t>
      </w:r>
      <w:proofErr w:type="spellEnd"/>
      <w:r>
        <w:rPr>
          <w:rFonts w:ascii="Arial" w:hAnsi="Arial" w:cs="Arial"/>
          <w:sz w:val="20"/>
          <w:szCs w:val="20"/>
          <w:lang w:eastAsia="ko-KR"/>
        </w:rPr>
        <w:t xml:space="preserve"> de celle proposée par Schumpeter ? (1 point)</w:t>
      </w:r>
    </w:p>
    <w:p w:rsidR="004F632B" w:rsidRDefault="004F632B">
      <w:pPr>
        <w:pStyle w:val="Standard"/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</w:p>
    <w:p w:rsidR="004F632B" w:rsidRDefault="004F632B">
      <w:pPr>
        <w:pStyle w:val="Standard"/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</w:p>
    <w:p w:rsidR="004F632B" w:rsidRDefault="00DC6651">
      <w:pPr>
        <w:pStyle w:val="Standard"/>
        <w:numPr>
          <w:ilvl w:val="0"/>
          <w:numId w:val="21"/>
        </w:numPr>
        <w:autoSpaceDE w:val="0"/>
        <w:spacing w:line="360" w:lineRule="auto"/>
        <w:jc w:val="both"/>
        <w:rPr>
          <w:rFonts w:ascii="Arial" w:hAnsi="Arial" w:cs="Arial"/>
          <w:b/>
          <w:sz w:val="22"/>
          <w:szCs w:val="22"/>
          <w:lang w:eastAsia="ko-KR"/>
        </w:rPr>
      </w:pPr>
      <w:r>
        <w:rPr>
          <w:rFonts w:ascii="Arial" w:hAnsi="Arial" w:cs="Arial"/>
          <w:b/>
          <w:sz w:val="22"/>
          <w:szCs w:val="22"/>
          <w:lang w:eastAsia="ko-KR"/>
        </w:rPr>
        <w:t>Les Politiques Economiques (3 points)</w:t>
      </w:r>
    </w:p>
    <w:p w:rsidR="004F632B" w:rsidRDefault="00DC6651">
      <w:pPr>
        <w:pStyle w:val="Standard"/>
        <w:numPr>
          <w:ilvl w:val="2"/>
          <w:numId w:val="21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>Rappelez brièvement en quoi consiste le « Carré Magique » de Kaldor (1 point)</w:t>
      </w:r>
    </w:p>
    <w:p w:rsidR="004F632B" w:rsidRDefault="00DC6651">
      <w:pPr>
        <w:pStyle w:val="Standard"/>
        <w:numPr>
          <w:ilvl w:val="2"/>
          <w:numId w:val="21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>Quels sont les objectifs d'une politique budgétaire contra-cyclique ? (1 point)</w:t>
      </w:r>
    </w:p>
    <w:p w:rsidR="004F632B" w:rsidRDefault="00DC6651">
      <w:pPr>
        <w:pStyle w:val="Standard"/>
        <w:numPr>
          <w:ilvl w:val="2"/>
          <w:numId w:val="21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>Quels sont les objectifs d'une politique structurelle ? (1 point)</w:t>
      </w:r>
    </w:p>
    <w:p w:rsidR="004F632B" w:rsidRDefault="004F632B">
      <w:pPr>
        <w:pStyle w:val="Standard"/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</w:p>
    <w:p w:rsidR="004F632B" w:rsidRDefault="00DC6651">
      <w:pPr>
        <w:pStyle w:val="Standard"/>
        <w:numPr>
          <w:ilvl w:val="0"/>
          <w:numId w:val="21"/>
        </w:numPr>
        <w:autoSpaceDE w:val="0"/>
        <w:spacing w:line="360" w:lineRule="auto"/>
        <w:jc w:val="both"/>
        <w:rPr>
          <w:rFonts w:ascii="Arial" w:hAnsi="Arial" w:cs="Arial"/>
          <w:b/>
          <w:sz w:val="22"/>
          <w:szCs w:val="22"/>
          <w:lang w:eastAsia="ko-KR"/>
        </w:rPr>
      </w:pPr>
      <w:r>
        <w:rPr>
          <w:rFonts w:ascii="Arial" w:hAnsi="Arial" w:cs="Arial"/>
          <w:b/>
          <w:sz w:val="22"/>
          <w:szCs w:val="22"/>
          <w:lang w:eastAsia="ko-KR"/>
        </w:rPr>
        <w:t>La Balance Commerciale (5 points)</w:t>
      </w:r>
    </w:p>
    <w:p w:rsidR="004F632B" w:rsidRDefault="003815F8">
      <w:pPr>
        <w:pStyle w:val="Standard"/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86360</wp:posOffset>
                </wp:positionV>
                <wp:extent cx="2751455" cy="3881755"/>
                <wp:effectExtent l="0" t="0" r="10795" b="25400"/>
                <wp:wrapTopAndBottom/>
                <wp:docPr id="8" name="Cadr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388175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F632B" w:rsidRDefault="00DC6651">
                            <w:pPr>
                              <w:pStyle w:val="Framecontents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Graphique 2 : Taux de couverture en valeur par groupe de produits</w:t>
                            </w:r>
                          </w:p>
                          <w:p w:rsidR="004F632B" w:rsidRDefault="003815F8">
                            <w:pPr>
                              <w:pStyle w:val="Framecontents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603500" cy="3492500"/>
                                  <wp:effectExtent l="0" t="0" r="6350" b="0"/>
                                  <wp:docPr id="3" name="images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2000" contrast="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0" cy="349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1.9pt;margin-top:6.8pt;width:216.65pt;height:305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" filled="f" strokeweight=".02mm">
                <v:path arrowok="t"/>
                <v:textbox style="mso-fit-shape-to-text:t" inset="0,0,0,0">
                  <w:txbxContent>
                    <w:p w:rsidR="004F632B" w:rsidRDefault="00DC6651">
                      <w:pPr>
                        <w:pStyle w:val="Framecontents"/>
                        <w:jc w:val="both"/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>Graphique 2 : Taux de couverture en valeur par groupe de produits</w:t>
                      </w:r>
                    </w:p>
                    <w:p w:rsidR="004F632B" w:rsidRDefault="003815F8">
                      <w:pPr>
                        <w:pStyle w:val="Framecontents"/>
                        <w:jc w:val="both"/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>
                            <wp:extent cx="2603500" cy="3492500"/>
                            <wp:effectExtent l="0" t="0" r="6350" b="0"/>
                            <wp:docPr id="3" name="images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bright="2000" contrast="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500" cy="349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90805</wp:posOffset>
                </wp:positionV>
                <wp:extent cx="2718435" cy="3626485"/>
                <wp:effectExtent l="0" t="0" r="24765" b="12700"/>
                <wp:wrapTopAndBottom/>
                <wp:docPr id="7" name="Cadr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8435" cy="362648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F632B" w:rsidRDefault="00DC6651">
                            <w:pPr>
                              <w:pStyle w:val="Framecontents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Graphique 1 : Evolution des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exportation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, importation et solde de la Balance Commerciale (en milliards d'Euros)</w:t>
                            </w:r>
                          </w:p>
                          <w:p w:rsidR="004F632B" w:rsidRDefault="003815F8">
                            <w:pPr>
                              <w:pStyle w:val="Framecontents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540000" cy="3238500"/>
                                  <wp:effectExtent l="0" t="0" r="0" b="0"/>
                                  <wp:docPr id="4" name="images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0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.45pt;margin-top:7.15pt;width:214.05pt;height:285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" filled="f" strokeweight=".02mm">
                <v:path arrowok="t"/>
                <v:textbox style="mso-fit-shape-to-text:t" inset="0,0,0,0">
                  <w:txbxContent>
                    <w:p w:rsidR="004F632B" w:rsidRDefault="00DC6651">
                      <w:pPr>
                        <w:pStyle w:val="Framecontents"/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>Graphique 1 : Evolution des exportation, importation et solde de la Balance Commerciale (en milliards d'Euros)</w:t>
                      </w:r>
                    </w:p>
                    <w:p w:rsidR="004F632B" w:rsidRDefault="003815F8">
                      <w:pPr>
                        <w:pStyle w:val="Framecontents"/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>
                            <wp:extent cx="2540000" cy="3238500"/>
                            <wp:effectExtent l="0" t="0" r="0" b="0"/>
                            <wp:docPr id="4" name="images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00" cy="32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F632B" w:rsidRDefault="00DC6651">
      <w:pPr>
        <w:pStyle w:val="Standard"/>
        <w:numPr>
          <w:ilvl w:val="2"/>
          <w:numId w:val="21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>Commentez les deux graphiques ci-dessus relatifs à l'évolution du commerce extérieur de la France. (3 points)</w:t>
      </w:r>
    </w:p>
    <w:p w:rsidR="004F632B" w:rsidRDefault="00DC6651">
      <w:pPr>
        <w:pStyle w:val="Standard"/>
        <w:numPr>
          <w:ilvl w:val="2"/>
          <w:numId w:val="21"/>
        </w:numPr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>Que pouvez-vous en déduire quant à la compétitivité de l'économie française ?</w:t>
      </w:r>
    </w:p>
    <w:p w:rsidR="004F632B" w:rsidRDefault="00DC6651">
      <w:pPr>
        <w:pStyle w:val="Standard"/>
        <w:autoSpaceDE w:val="0"/>
        <w:spacing w:line="360" w:lineRule="auto"/>
        <w:jc w:val="both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t>Expliquez. (2 points)</w:t>
      </w:r>
    </w:p>
    <w:sectPr w:rsidR="004F632B">
      <w:headerReference w:type="default" r:id="rId20"/>
      <w:footerReference w:type="default" r:id="rId21"/>
      <w:pgSz w:w="12240" w:h="15840"/>
      <w:pgMar w:top="1129" w:right="1041" w:bottom="1134" w:left="1417" w:header="71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7A8" w:rsidRDefault="003917A8">
      <w:r>
        <w:separator/>
      </w:r>
    </w:p>
  </w:endnote>
  <w:endnote w:type="continuationSeparator" w:id="0">
    <w:p w:rsidR="003917A8" w:rsidRDefault="00391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Roman">
    <w:charset w:val="00"/>
    <w:family w:val="swiss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7D" w:rsidRDefault="000D747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602" w:rsidRPr="00333602" w:rsidRDefault="00333602" w:rsidP="00333602">
    <w:pPr>
      <w:widowControl/>
      <w:tabs>
        <w:tab w:val="center" w:pos="4536"/>
        <w:tab w:val="right" w:pos="9072"/>
      </w:tabs>
      <w:suppressAutoHyphens w:val="0"/>
      <w:autoSpaceDN/>
      <w:ind w:right="360"/>
      <w:jc w:val="right"/>
      <w:textAlignment w:val="auto"/>
      <w:rPr>
        <w:rFonts w:ascii="Arial Narrow" w:eastAsia="Times New Roman" w:hAnsi="Arial Narrow" w:cs="Times New Roman"/>
        <w:i/>
        <w:kern w:val="0"/>
        <w:sz w:val="20"/>
        <w:szCs w:val="20"/>
        <w:lang w:eastAsia="fr-FR" w:bidi="ar-SA"/>
      </w:rPr>
    </w:pPr>
    <w:r w:rsidRPr="00333602">
      <w:rPr>
        <w:rFonts w:ascii="Arial Narrow" w:eastAsia="Times New Roman" w:hAnsi="Arial Narrow" w:cs="Times New Roman"/>
        <w:i/>
        <w:kern w:val="0"/>
        <w:sz w:val="20"/>
        <w:szCs w:val="20"/>
        <w:lang w:eastAsia="fr-FR" w:bidi="ar-SA"/>
      </w:rPr>
      <w:t>Final EC07- N. KROICHVILI et A. LORENTZ – Automne 2011</w:t>
    </w:r>
  </w:p>
  <w:p w:rsidR="00DC6651" w:rsidRPr="00333602" w:rsidRDefault="00DC6651" w:rsidP="0033360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7D" w:rsidRDefault="000D747D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26E" w:rsidRPr="0072526E" w:rsidRDefault="0072526E">
    <w:pPr>
      <w:pStyle w:val="Pieddepage"/>
      <w:ind w:right="360"/>
      <w:jc w:val="right"/>
      <w:rPr>
        <w:rFonts w:ascii="Arial Narrow" w:hAnsi="Arial Narrow"/>
        <w:i/>
        <w:sz w:val="20"/>
        <w:szCs w:val="20"/>
        <w:lang w:val="en-US"/>
      </w:rPr>
    </w:pPr>
    <w:r w:rsidRPr="0072526E">
      <w:rPr>
        <w:rFonts w:ascii="Arial Narrow" w:hAnsi="Arial Narrow"/>
        <w:i/>
        <w:sz w:val="20"/>
        <w:szCs w:val="20"/>
        <w:lang w:val="en-US"/>
      </w:rPr>
      <w:t xml:space="preserve">Final EY07- A. Lorentz – </w:t>
    </w:r>
    <w:proofErr w:type="spellStart"/>
    <w:r w:rsidRPr="0072526E">
      <w:rPr>
        <w:rFonts w:ascii="Arial Narrow" w:hAnsi="Arial Narrow"/>
        <w:i/>
        <w:sz w:val="20"/>
        <w:szCs w:val="20"/>
        <w:lang w:val="en-US"/>
      </w:rPr>
      <w:t>Automne</w:t>
    </w:r>
    <w:proofErr w:type="spellEnd"/>
    <w:r w:rsidRPr="0072526E">
      <w:rPr>
        <w:rFonts w:ascii="Arial Narrow" w:hAnsi="Arial Narrow"/>
        <w:i/>
        <w:sz w:val="20"/>
        <w:szCs w:val="20"/>
        <w:lang w:val="en-US"/>
      </w:rPr>
      <w:t xml:space="preserve"> 2011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7A8" w:rsidRDefault="003917A8">
      <w:r>
        <w:rPr>
          <w:color w:val="000000"/>
        </w:rPr>
        <w:separator/>
      </w:r>
    </w:p>
  </w:footnote>
  <w:footnote w:type="continuationSeparator" w:id="0">
    <w:p w:rsidR="003917A8" w:rsidRDefault="003917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7D" w:rsidRDefault="000D747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26E" w:rsidRPr="0072526E" w:rsidRDefault="0072526E" w:rsidP="0072526E">
    <w:pPr>
      <w:widowControl/>
      <w:tabs>
        <w:tab w:val="center" w:pos="4536"/>
        <w:tab w:val="right" w:pos="9072"/>
      </w:tabs>
      <w:suppressAutoHyphens w:val="0"/>
      <w:autoSpaceDN/>
      <w:ind w:left="-539"/>
      <w:jc w:val="right"/>
      <w:textAlignment w:val="auto"/>
      <w:rPr>
        <w:rFonts w:ascii="Cambria" w:eastAsia="Times New Roman" w:hAnsi="Cambria" w:cs="Times New Roman"/>
        <w:b/>
        <w:color w:val="333333"/>
        <w:kern w:val="0"/>
        <w:sz w:val="28"/>
        <w:szCs w:val="32"/>
        <w:lang w:eastAsia="fr-FR" w:bidi="ar-SA"/>
      </w:rPr>
    </w:pPr>
  </w:p>
  <w:tbl>
    <w:tblPr>
      <w:tblW w:w="10008" w:type="dxa"/>
      <w:tblLook w:val="01E0" w:firstRow="1" w:lastRow="1" w:firstColumn="1" w:lastColumn="1" w:noHBand="0" w:noVBand="0"/>
    </w:tblPr>
    <w:tblGrid>
      <w:gridCol w:w="3348"/>
      <w:gridCol w:w="2880"/>
      <w:gridCol w:w="3780"/>
    </w:tblGrid>
    <w:tr w:rsidR="0072526E" w:rsidRPr="0072526E" w:rsidTr="00DC6651">
      <w:tc>
        <w:tcPr>
          <w:tcW w:w="3348" w:type="dxa"/>
        </w:tcPr>
        <w:p w:rsidR="0072526E" w:rsidRPr="0072526E" w:rsidRDefault="003815F8" w:rsidP="0072526E">
          <w:pPr>
            <w:widowControl/>
            <w:tabs>
              <w:tab w:val="center" w:pos="4536"/>
              <w:tab w:val="right" w:pos="9072"/>
            </w:tabs>
            <w:suppressAutoHyphens w:val="0"/>
            <w:autoSpaceDN/>
            <w:textAlignment w:val="auto"/>
            <w:rPr>
              <w:rFonts w:ascii="Arial Narrow" w:eastAsia="Times New Roman" w:hAnsi="Arial Narrow" w:cs="Times New Roman"/>
              <w:b/>
              <w:color w:val="A6A6A6"/>
              <w:kern w:val="0"/>
              <w:sz w:val="28"/>
              <w:szCs w:val="28"/>
              <w:lang w:eastAsia="fr-FR" w:bidi="ar-SA"/>
            </w:rPr>
          </w:pPr>
          <w:r>
            <w:rPr>
              <w:rFonts w:ascii="Arial Narrow" w:eastAsia="Times New Roman" w:hAnsi="Arial Narrow" w:cs="Times New Roman"/>
              <w:noProof/>
              <w:color w:val="A6A6A6"/>
              <w:kern w:val="0"/>
              <w:sz w:val="28"/>
              <w:szCs w:val="28"/>
              <w:lang w:eastAsia="fr-FR" w:bidi="ar-SA"/>
            </w:rPr>
            <w:drawing>
              <wp:inline distT="0" distB="0" distL="0" distR="0">
                <wp:extent cx="1409700" cy="660400"/>
                <wp:effectExtent l="0" t="0" r="0" b="6350"/>
                <wp:docPr id="5" name="Image 7" descr="Description 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7" descr="Description 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0" w:type="dxa"/>
        </w:tcPr>
        <w:p w:rsidR="0072526E" w:rsidRPr="0072526E" w:rsidRDefault="0072526E" w:rsidP="0072526E">
          <w:pPr>
            <w:widowControl/>
            <w:tabs>
              <w:tab w:val="center" w:pos="4536"/>
              <w:tab w:val="right" w:pos="9072"/>
            </w:tabs>
            <w:suppressAutoHyphens w:val="0"/>
            <w:autoSpaceDN/>
            <w:textAlignment w:val="auto"/>
            <w:rPr>
              <w:rFonts w:ascii="Arial Narrow" w:eastAsia="Times New Roman" w:hAnsi="Arial Narrow" w:cs="Times New Roman"/>
              <w:b/>
              <w:color w:val="333333"/>
              <w:kern w:val="0"/>
              <w:sz w:val="28"/>
              <w:szCs w:val="28"/>
              <w:lang w:eastAsia="fr-FR" w:bidi="ar-SA"/>
            </w:rPr>
          </w:pPr>
        </w:p>
        <w:p w:rsidR="0072526E" w:rsidRPr="0072526E" w:rsidRDefault="0072526E" w:rsidP="0072526E">
          <w:pPr>
            <w:widowControl/>
            <w:tabs>
              <w:tab w:val="center" w:pos="4536"/>
              <w:tab w:val="right" w:pos="9072"/>
            </w:tabs>
            <w:suppressAutoHyphens w:val="0"/>
            <w:autoSpaceDN/>
            <w:ind w:left="196"/>
            <w:jc w:val="center"/>
            <w:textAlignment w:val="auto"/>
            <w:rPr>
              <w:rFonts w:ascii="Arial Narrow" w:eastAsia="Times New Roman" w:hAnsi="Arial Narrow" w:cs="Times New Roman"/>
              <w:b/>
              <w:color w:val="333333"/>
              <w:kern w:val="0"/>
              <w:sz w:val="28"/>
              <w:szCs w:val="28"/>
              <w:lang w:eastAsia="fr-FR" w:bidi="ar-SA"/>
            </w:rPr>
          </w:pPr>
          <w:r w:rsidRPr="0072526E">
            <w:rPr>
              <w:rFonts w:ascii="Arial Narrow" w:eastAsia="Times New Roman" w:hAnsi="Arial Narrow" w:cs="Times New Roman"/>
              <w:b/>
              <w:color w:val="333333"/>
              <w:kern w:val="0"/>
              <w:sz w:val="28"/>
              <w:szCs w:val="28"/>
              <w:lang w:eastAsia="fr-FR" w:bidi="ar-SA"/>
            </w:rPr>
            <w:t>EXAMEN FINAL</w:t>
          </w:r>
        </w:p>
        <w:p w:rsidR="0072526E" w:rsidRPr="0072526E" w:rsidRDefault="0072526E" w:rsidP="0072526E">
          <w:pPr>
            <w:widowControl/>
            <w:tabs>
              <w:tab w:val="center" w:pos="4536"/>
              <w:tab w:val="right" w:pos="9072"/>
            </w:tabs>
            <w:suppressAutoHyphens w:val="0"/>
            <w:autoSpaceDN/>
            <w:ind w:left="196"/>
            <w:jc w:val="center"/>
            <w:textAlignment w:val="auto"/>
            <w:rPr>
              <w:rFonts w:ascii="Arial Narrow" w:eastAsia="Times New Roman" w:hAnsi="Arial Narrow" w:cs="Times New Roman"/>
              <w:b/>
              <w:color w:val="333333"/>
              <w:kern w:val="0"/>
              <w:sz w:val="22"/>
              <w:szCs w:val="28"/>
              <w:lang w:eastAsia="fr-FR" w:bidi="ar-SA"/>
            </w:rPr>
          </w:pPr>
          <w:r w:rsidRPr="0072526E">
            <w:rPr>
              <w:rFonts w:ascii="Arial Narrow" w:eastAsia="Times New Roman" w:hAnsi="Arial Narrow" w:cs="Times New Roman"/>
              <w:b/>
              <w:color w:val="333333"/>
              <w:kern w:val="0"/>
              <w:sz w:val="22"/>
              <w:szCs w:val="28"/>
              <w:lang w:eastAsia="fr-FR" w:bidi="ar-SA"/>
            </w:rPr>
            <w:t>Lundi 16 janvier 2012 – 2H</w:t>
          </w:r>
        </w:p>
        <w:p w:rsidR="0072526E" w:rsidRPr="0072526E" w:rsidRDefault="0072526E" w:rsidP="0072526E">
          <w:pPr>
            <w:widowControl/>
            <w:tabs>
              <w:tab w:val="center" w:pos="4536"/>
              <w:tab w:val="right" w:pos="9072"/>
            </w:tabs>
            <w:suppressAutoHyphens w:val="0"/>
            <w:autoSpaceDN/>
            <w:ind w:left="196"/>
            <w:jc w:val="center"/>
            <w:textAlignment w:val="auto"/>
            <w:rPr>
              <w:rFonts w:ascii="Arial Narrow" w:eastAsia="Times New Roman" w:hAnsi="Arial Narrow" w:cs="Times New Roman"/>
              <w:b/>
              <w:color w:val="333333"/>
              <w:kern w:val="0"/>
              <w:sz w:val="28"/>
              <w:szCs w:val="28"/>
              <w:lang w:eastAsia="fr-FR" w:bidi="ar-SA"/>
            </w:rPr>
          </w:pPr>
        </w:p>
        <w:p w:rsidR="0072526E" w:rsidRPr="0072526E" w:rsidRDefault="0072526E" w:rsidP="0072526E">
          <w:pPr>
            <w:widowControl/>
            <w:tabs>
              <w:tab w:val="center" w:pos="4536"/>
              <w:tab w:val="right" w:pos="9072"/>
            </w:tabs>
            <w:suppressAutoHyphens w:val="0"/>
            <w:autoSpaceDN/>
            <w:ind w:left="196"/>
            <w:jc w:val="center"/>
            <w:textAlignment w:val="auto"/>
            <w:rPr>
              <w:rFonts w:ascii="Arial Narrow" w:eastAsia="Times New Roman" w:hAnsi="Arial Narrow" w:cs="Times New Roman"/>
              <w:b/>
              <w:color w:val="333333"/>
              <w:kern w:val="0"/>
              <w:sz w:val="28"/>
              <w:szCs w:val="28"/>
              <w:lang w:eastAsia="fr-FR" w:bidi="ar-SA"/>
            </w:rPr>
          </w:pPr>
        </w:p>
      </w:tc>
      <w:tc>
        <w:tcPr>
          <w:tcW w:w="3780" w:type="dxa"/>
        </w:tcPr>
        <w:p w:rsidR="0072526E" w:rsidRPr="0072526E" w:rsidRDefault="0072526E" w:rsidP="0072526E">
          <w:pPr>
            <w:widowControl/>
            <w:tabs>
              <w:tab w:val="center" w:pos="4536"/>
              <w:tab w:val="right" w:pos="9072"/>
            </w:tabs>
            <w:suppressAutoHyphens w:val="0"/>
            <w:autoSpaceDN/>
            <w:jc w:val="right"/>
            <w:textAlignment w:val="auto"/>
            <w:rPr>
              <w:rFonts w:ascii="Arial Narrow" w:eastAsia="Times New Roman" w:hAnsi="Arial Narrow" w:cs="Times New Roman"/>
              <w:b/>
              <w:color w:val="A6A6A6"/>
              <w:kern w:val="0"/>
              <w:sz w:val="28"/>
              <w:szCs w:val="28"/>
              <w:lang w:eastAsia="fr-FR" w:bidi="ar-SA"/>
            </w:rPr>
          </w:pPr>
          <w:r w:rsidRPr="0072526E">
            <w:rPr>
              <w:rFonts w:ascii="Arial Narrow" w:eastAsia="Times New Roman" w:hAnsi="Arial Narrow" w:cs="Times New Roman"/>
              <w:b/>
              <w:color w:val="A6A6A6"/>
              <w:kern w:val="0"/>
              <w:sz w:val="28"/>
              <w:szCs w:val="28"/>
              <w:lang w:eastAsia="fr-FR" w:bidi="ar-SA"/>
            </w:rPr>
            <w:t>UV EC07</w:t>
          </w:r>
          <w:r w:rsidR="000D747D">
            <w:rPr>
              <w:rFonts w:ascii="Arial Narrow" w:eastAsia="Times New Roman" w:hAnsi="Arial Narrow" w:cs="Times New Roman"/>
              <w:b/>
              <w:color w:val="A6A6A6"/>
              <w:kern w:val="0"/>
              <w:sz w:val="28"/>
              <w:szCs w:val="28"/>
              <w:lang w:eastAsia="fr-FR" w:bidi="ar-SA"/>
            </w:rPr>
            <w:t xml:space="preserve"> (Belfort)</w:t>
          </w:r>
        </w:p>
        <w:p w:rsidR="0072526E" w:rsidRPr="0072526E" w:rsidRDefault="0072526E" w:rsidP="0072526E">
          <w:pPr>
            <w:widowControl/>
            <w:tabs>
              <w:tab w:val="center" w:pos="4536"/>
              <w:tab w:val="right" w:pos="9072"/>
            </w:tabs>
            <w:suppressAutoHyphens w:val="0"/>
            <w:autoSpaceDN/>
            <w:ind w:left="-699" w:firstLine="699"/>
            <w:jc w:val="right"/>
            <w:textAlignment w:val="auto"/>
            <w:rPr>
              <w:rFonts w:ascii="Arial Narrow" w:eastAsia="Times New Roman" w:hAnsi="Arial Narrow" w:cs="Times New Roman"/>
              <w:b/>
              <w:color w:val="A6A6A6"/>
              <w:kern w:val="0"/>
              <w:sz w:val="28"/>
              <w:szCs w:val="28"/>
              <w:lang w:eastAsia="fr-FR" w:bidi="ar-SA"/>
            </w:rPr>
          </w:pPr>
          <w:r w:rsidRPr="0072526E">
            <w:rPr>
              <w:rFonts w:ascii="Arial Narrow" w:eastAsia="Times New Roman" w:hAnsi="Arial Narrow" w:cs="Times New Roman"/>
              <w:b/>
              <w:color w:val="A6A6A6"/>
              <w:kern w:val="0"/>
              <w:sz w:val="28"/>
              <w:szCs w:val="28"/>
              <w:lang w:eastAsia="fr-FR" w:bidi="ar-SA"/>
            </w:rPr>
            <w:t>Fondements de</w:t>
          </w:r>
        </w:p>
        <w:p w:rsidR="0072526E" w:rsidRPr="0072526E" w:rsidRDefault="0072526E" w:rsidP="0072526E">
          <w:pPr>
            <w:widowControl/>
            <w:tabs>
              <w:tab w:val="center" w:pos="4536"/>
              <w:tab w:val="right" w:pos="9072"/>
            </w:tabs>
            <w:suppressAutoHyphens w:val="0"/>
            <w:autoSpaceDN/>
            <w:jc w:val="right"/>
            <w:textAlignment w:val="auto"/>
            <w:rPr>
              <w:rFonts w:ascii="Arial Narrow" w:eastAsia="Times New Roman" w:hAnsi="Arial Narrow" w:cs="Times New Roman"/>
              <w:b/>
              <w:color w:val="333333"/>
              <w:kern w:val="0"/>
              <w:sz w:val="28"/>
              <w:szCs w:val="28"/>
              <w:lang w:eastAsia="fr-FR" w:bidi="ar-SA"/>
            </w:rPr>
          </w:pPr>
          <w:r w:rsidRPr="0072526E">
            <w:rPr>
              <w:rFonts w:ascii="Arial Narrow" w:eastAsia="Times New Roman" w:hAnsi="Arial Narrow" w:cs="Times New Roman"/>
              <w:b/>
              <w:color w:val="A6A6A6"/>
              <w:kern w:val="0"/>
              <w:sz w:val="28"/>
              <w:szCs w:val="28"/>
              <w:lang w:eastAsia="fr-FR" w:bidi="ar-SA"/>
            </w:rPr>
            <w:t>l’économie</w:t>
          </w:r>
        </w:p>
      </w:tc>
    </w:tr>
  </w:tbl>
  <w:p w:rsidR="00DC6651" w:rsidRDefault="00DC6651">
    <w:pPr>
      <w:pStyle w:val="En-tte"/>
      <w:ind w:left="-539"/>
      <w:jc w:val="right"/>
      <w:rPr>
        <w:rFonts w:ascii="Cambria" w:hAnsi="Cambria"/>
        <w:b/>
        <w:color w:val="333333"/>
        <w:sz w:val="28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7D" w:rsidRDefault="000D747D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26E" w:rsidRDefault="0072526E">
    <w:pPr>
      <w:pStyle w:val="En-tte"/>
      <w:ind w:left="-539"/>
      <w:jc w:val="right"/>
      <w:rPr>
        <w:rFonts w:ascii="Cambria" w:hAnsi="Cambria"/>
        <w:b/>
        <w:color w:val="333333"/>
        <w:sz w:val="28"/>
        <w:szCs w:val="32"/>
      </w:rPr>
    </w:pPr>
  </w:p>
  <w:tbl>
    <w:tblPr>
      <w:tblW w:w="10008" w:type="dxa"/>
      <w:tblInd w:w="-108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348"/>
      <w:gridCol w:w="2880"/>
      <w:gridCol w:w="3780"/>
    </w:tblGrid>
    <w:tr w:rsidR="0072526E">
      <w:tc>
        <w:tcPr>
          <w:tcW w:w="3348" w:type="dxa"/>
          <w:tcMar>
            <w:top w:w="0" w:type="dxa"/>
            <w:left w:w="108" w:type="dxa"/>
            <w:bottom w:w="0" w:type="dxa"/>
            <w:right w:w="108" w:type="dxa"/>
          </w:tcMar>
        </w:tcPr>
        <w:p w:rsidR="0072526E" w:rsidRDefault="003815F8">
          <w:pPr>
            <w:pStyle w:val="En-tte"/>
            <w:snapToGrid w:val="0"/>
            <w:rPr>
              <w:rFonts w:ascii="Arial Narrow" w:hAnsi="Arial Narrow"/>
              <w:color w:val="A6A6A6"/>
              <w:sz w:val="28"/>
              <w:szCs w:val="28"/>
            </w:rPr>
          </w:pPr>
          <w:r>
            <w:rPr>
              <w:rFonts w:ascii="Arial Narrow" w:hAnsi="Arial Narrow"/>
              <w:noProof/>
              <w:color w:val="A6A6A6"/>
              <w:sz w:val="28"/>
              <w:szCs w:val="28"/>
              <w:lang w:eastAsia="fr-FR"/>
            </w:rPr>
            <w:drawing>
              <wp:inline distT="0" distB="0" distL="0" distR="0">
                <wp:extent cx="1409700" cy="660400"/>
                <wp:effectExtent l="0" t="0" r="0" b="6350"/>
                <wp:docPr id="6" name="images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s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0" w:type="dxa"/>
          <w:tcMar>
            <w:top w:w="0" w:type="dxa"/>
            <w:left w:w="108" w:type="dxa"/>
            <w:bottom w:w="0" w:type="dxa"/>
            <w:right w:w="108" w:type="dxa"/>
          </w:tcMar>
        </w:tcPr>
        <w:p w:rsidR="0072526E" w:rsidRDefault="0072526E">
          <w:pPr>
            <w:pStyle w:val="En-tte"/>
            <w:snapToGrid w:val="0"/>
            <w:rPr>
              <w:rFonts w:ascii="Arial Narrow" w:hAnsi="Arial Narrow"/>
              <w:b/>
              <w:color w:val="333333"/>
              <w:sz w:val="28"/>
              <w:szCs w:val="28"/>
            </w:rPr>
          </w:pPr>
        </w:p>
        <w:p w:rsidR="0072526E" w:rsidRDefault="0072526E">
          <w:pPr>
            <w:pStyle w:val="En-tte"/>
            <w:ind w:left="196"/>
            <w:jc w:val="center"/>
            <w:rPr>
              <w:rFonts w:ascii="Arial Narrow" w:hAnsi="Arial Narrow"/>
              <w:b/>
              <w:color w:val="333333"/>
              <w:sz w:val="28"/>
              <w:szCs w:val="28"/>
            </w:rPr>
          </w:pPr>
          <w:r>
            <w:rPr>
              <w:rFonts w:ascii="Arial Narrow" w:hAnsi="Arial Narrow"/>
              <w:b/>
              <w:color w:val="333333"/>
              <w:sz w:val="28"/>
              <w:szCs w:val="28"/>
            </w:rPr>
            <w:t>EXAMEN FINAL</w:t>
          </w:r>
        </w:p>
        <w:p w:rsidR="0072526E" w:rsidRDefault="0072526E">
          <w:pPr>
            <w:pStyle w:val="En-tte"/>
            <w:ind w:left="196"/>
            <w:jc w:val="center"/>
            <w:rPr>
              <w:rFonts w:ascii="Arial Narrow" w:hAnsi="Arial Narrow"/>
              <w:b/>
              <w:color w:val="333333"/>
              <w:sz w:val="22"/>
              <w:szCs w:val="28"/>
            </w:rPr>
          </w:pPr>
          <w:r>
            <w:rPr>
              <w:rFonts w:ascii="Arial Narrow" w:hAnsi="Arial Narrow"/>
              <w:b/>
              <w:color w:val="333333"/>
              <w:sz w:val="22"/>
              <w:szCs w:val="28"/>
            </w:rPr>
            <w:t xml:space="preserve"> 16 janvier 2012 – 2H</w:t>
          </w:r>
        </w:p>
        <w:p w:rsidR="0072526E" w:rsidRDefault="0072526E">
          <w:pPr>
            <w:pStyle w:val="En-tte"/>
            <w:ind w:left="196"/>
            <w:jc w:val="center"/>
            <w:rPr>
              <w:rFonts w:ascii="Arial Narrow" w:hAnsi="Arial Narrow"/>
              <w:b/>
              <w:color w:val="333333"/>
              <w:sz w:val="28"/>
              <w:szCs w:val="28"/>
            </w:rPr>
          </w:pPr>
        </w:p>
        <w:p w:rsidR="0072526E" w:rsidRDefault="0072526E">
          <w:pPr>
            <w:pStyle w:val="En-tte"/>
            <w:ind w:left="196"/>
            <w:jc w:val="center"/>
            <w:rPr>
              <w:rFonts w:ascii="Arial Narrow" w:hAnsi="Arial Narrow"/>
              <w:b/>
              <w:color w:val="333333"/>
              <w:sz w:val="28"/>
              <w:szCs w:val="28"/>
            </w:rPr>
          </w:pPr>
        </w:p>
      </w:tc>
      <w:tc>
        <w:tcPr>
          <w:tcW w:w="3780" w:type="dxa"/>
          <w:tcMar>
            <w:top w:w="0" w:type="dxa"/>
            <w:left w:w="108" w:type="dxa"/>
            <w:bottom w:w="0" w:type="dxa"/>
            <w:right w:w="108" w:type="dxa"/>
          </w:tcMar>
        </w:tcPr>
        <w:p w:rsidR="0072526E" w:rsidRDefault="0072526E">
          <w:pPr>
            <w:pStyle w:val="En-tte"/>
            <w:snapToGrid w:val="0"/>
            <w:jc w:val="right"/>
            <w:rPr>
              <w:rFonts w:ascii="Arial Narrow" w:hAnsi="Arial Narrow"/>
              <w:b/>
              <w:color w:val="A6A6A6"/>
              <w:sz w:val="28"/>
              <w:szCs w:val="28"/>
            </w:rPr>
          </w:pPr>
          <w:r>
            <w:rPr>
              <w:rFonts w:ascii="Arial Narrow" w:hAnsi="Arial Narrow"/>
              <w:b/>
              <w:color w:val="A6A6A6"/>
              <w:sz w:val="28"/>
              <w:szCs w:val="28"/>
            </w:rPr>
            <w:t>UV EY07</w:t>
          </w:r>
          <w:r w:rsidR="000D747D">
            <w:rPr>
              <w:rFonts w:ascii="Arial Narrow" w:hAnsi="Arial Narrow"/>
              <w:b/>
              <w:color w:val="A6A6A6"/>
              <w:sz w:val="28"/>
              <w:szCs w:val="28"/>
            </w:rPr>
            <w:t xml:space="preserve"> </w:t>
          </w:r>
          <w:r w:rsidR="000D747D">
            <w:rPr>
              <w:rFonts w:ascii="Arial Narrow" w:hAnsi="Arial Narrow"/>
              <w:b/>
              <w:color w:val="A6A6A6"/>
              <w:sz w:val="28"/>
              <w:szCs w:val="28"/>
            </w:rPr>
            <w:t>(Montbéliard)</w:t>
          </w:r>
          <w:bookmarkStart w:id="0" w:name="_GoBack"/>
          <w:bookmarkEnd w:id="0"/>
        </w:p>
        <w:p w:rsidR="0072526E" w:rsidRDefault="0072526E">
          <w:pPr>
            <w:pStyle w:val="En-tte"/>
            <w:ind w:left="-699" w:firstLine="699"/>
            <w:jc w:val="right"/>
            <w:rPr>
              <w:rFonts w:ascii="Arial Narrow" w:hAnsi="Arial Narrow"/>
              <w:b/>
              <w:color w:val="A6A6A6"/>
              <w:sz w:val="28"/>
              <w:szCs w:val="28"/>
            </w:rPr>
          </w:pPr>
          <w:r>
            <w:rPr>
              <w:rFonts w:ascii="Arial Narrow" w:hAnsi="Arial Narrow"/>
              <w:b/>
              <w:color w:val="A6A6A6"/>
              <w:sz w:val="28"/>
              <w:szCs w:val="28"/>
            </w:rPr>
            <w:t>Fondements de</w:t>
          </w:r>
        </w:p>
        <w:p w:rsidR="0072526E" w:rsidRDefault="0072526E">
          <w:pPr>
            <w:pStyle w:val="En-tte"/>
            <w:jc w:val="right"/>
            <w:rPr>
              <w:rFonts w:ascii="Arial Narrow" w:hAnsi="Arial Narrow"/>
              <w:b/>
              <w:color w:val="A6A6A6"/>
              <w:sz w:val="28"/>
              <w:szCs w:val="28"/>
            </w:rPr>
          </w:pPr>
          <w:r>
            <w:rPr>
              <w:rFonts w:ascii="Arial Narrow" w:hAnsi="Arial Narrow"/>
              <w:b/>
              <w:color w:val="A6A6A6"/>
              <w:sz w:val="28"/>
              <w:szCs w:val="28"/>
            </w:rPr>
            <w:t>l’économie</w:t>
          </w:r>
        </w:p>
      </w:tc>
    </w:tr>
  </w:tbl>
  <w:p w:rsidR="0072526E" w:rsidRDefault="0072526E">
    <w:pPr>
      <w:pStyle w:val="En-tte"/>
      <w:ind w:left="-539"/>
      <w:jc w:val="right"/>
      <w:rPr>
        <w:rFonts w:ascii="Cambria" w:hAnsi="Cambria"/>
        <w:b/>
        <w:color w:val="333333"/>
        <w:sz w:val="28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1824"/>
    <w:multiLevelType w:val="multilevel"/>
    <w:tmpl w:val="995E54DE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028264D7"/>
    <w:multiLevelType w:val="multilevel"/>
    <w:tmpl w:val="9600E2F4"/>
    <w:styleLink w:val="WW8Num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083B5EDF"/>
    <w:multiLevelType w:val="multilevel"/>
    <w:tmpl w:val="A38A5E40"/>
    <w:styleLink w:val="WW8Num6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08DF77E0"/>
    <w:multiLevelType w:val="multilevel"/>
    <w:tmpl w:val="3208B41C"/>
    <w:styleLink w:val="WW8Num10"/>
    <w:lvl w:ilvl="0">
      <w:start w:val="5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18897B4E"/>
    <w:multiLevelType w:val="hybridMultilevel"/>
    <w:tmpl w:val="093EEA80"/>
    <w:lvl w:ilvl="0" w:tplc="040C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C60C5A"/>
    <w:multiLevelType w:val="multilevel"/>
    <w:tmpl w:val="F99ED502"/>
    <w:styleLink w:val="WW8Num13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1DA8727B"/>
    <w:multiLevelType w:val="multilevel"/>
    <w:tmpl w:val="2FECFB10"/>
    <w:styleLink w:val="WW8Num1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1E054FD2"/>
    <w:multiLevelType w:val="multilevel"/>
    <w:tmpl w:val="D212B46C"/>
    <w:styleLink w:val="WW8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23E41DF7"/>
    <w:multiLevelType w:val="multilevel"/>
    <w:tmpl w:val="7BF27A42"/>
    <w:styleLink w:val="WWOutlineListStyle"/>
    <w:lvl w:ilvl="0">
      <w:start w:val="1"/>
      <w:numFmt w:val="decimal"/>
      <w:lvlText w:val="%1."/>
      <w:lvlJc w:val="left"/>
    </w:lvl>
    <w:lvl w:ilvl="1">
      <w:start w:val="1"/>
      <w:numFmt w:val="decimal"/>
      <w:pStyle w:val="Style1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9">
    <w:nsid w:val="2A356EB4"/>
    <w:multiLevelType w:val="hybridMultilevel"/>
    <w:tmpl w:val="23642DE6"/>
    <w:lvl w:ilvl="0" w:tplc="FF88A8B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95C2F"/>
    <w:multiLevelType w:val="multilevel"/>
    <w:tmpl w:val="721ABD76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305A28FD"/>
    <w:multiLevelType w:val="multilevel"/>
    <w:tmpl w:val="44BC541E"/>
    <w:styleLink w:val="WW8Num14"/>
    <w:lvl w:ilvl="0">
      <w:start w:val="1"/>
      <w:numFmt w:val="lowerLetter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">
    <w:nsid w:val="350E2910"/>
    <w:multiLevelType w:val="multilevel"/>
    <w:tmpl w:val="0D085AA0"/>
    <w:styleLink w:val="WW8Num9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389E318B"/>
    <w:multiLevelType w:val="multilevel"/>
    <w:tmpl w:val="CF883ABA"/>
    <w:styleLink w:val="WW8Num17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">
    <w:nsid w:val="3C280FDA"/>
    <w:multiLevelType w:val="multilevel"/>
    <w:tmpl w:val="C7D48ED4"/>
    <w:styleLink w:val="WW8Num1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>
    <w:nsid w:val="449B396A"/>
    <w:multiLevelType w:val="multilevel"/>
    <w:tmpl w:val="CDEC4B0A"/>
    <w:styleLink w:val="WW8Num5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4D377F68"/>
    <w:multiLevelType w:val="multilevel"/>
    <w:tmpl w:val="3C029AB6"/>
    <w:styleLink w:val="WW8Num15"/>
    <w:lvl w:ilvl="0">
      <w:numFmt w:val="bullet"/>
      <w:lvlText w:val="•"/>
      <w:lvlJc w:val="left"/>
      <w:rPr>
        <w:rFonts w:ascii="Times New Roman" w:hAnsi="Times New Roman"/>
      </w:rPr>
    </w:lvl>
    <w:lvl w:ilvl="1">
      <w:numFmt w:val="bullet"/>
      <w:lvlText w:val="•"/>
      <w:lvlJc w:val="left"/>
      <w:rPr>
        <w:rFonts w:ascii="Times New Roman" w:hAnsi="Times New Roman"/>
      </w:rPr>
    </w:lvl>
    <w:lvl w:ilvl="2">
      <w:numFmt w:val="bullet"/>
      <w:lvlText w:val="•"/>
      <w:lvlJc w:val="left"/>
      <w:rPr>
        <w:rFonts w:ascii="Times New Roman" w:hAnsi="Times New Roman"/>
      </w:rPr>
    </w:lvl>
    <w:lvl w:ilvl="3">
      <w:numFmt w:val="bullet"/>
      <w:lvlText w:val="•"/>
      <w:lvlJc w:val="left"/>
      <w:rPr>
        <w:rFonts w:ascii="Times New Roman" w:hAnsi="Times New Roman"/>
      </w:rPr>
    </w:lvl>
    <w:lvl w:ilvl="4">
      <w:numFmt w:val="bullet"/>
      <w:lvlText w:val="•"/>
      <w:lvlJc w:val="left"/>
      <w:rPr>
        <w:rFonts w:ascii="Times New Roman" w:hAnsi="Times New Roman"/>
      </w:rPr>
    </w:lvl>
    <w:lvl w:ilvl="5">
      <w:numFmt w:val="bullet"/>
      <w:lvlText w:val="•"/>
      <w:lvlJc w:val="left"/>
      <w:rPr>
        <w:rFonts w:ascii="Times New Roman" w:hAnsi="Times New Roman"/>
      </w:rPr>
    </w:lvl>
    <w:lvl w:ilvl="6">
      <w:numFmt w:val="bullet"/>
      <w:lvlText w:val="•"/>
      <w:lvlJc w:val="left"/>
      <w:rPr>
        <w:rFonts w:ascii="Times New Roman" w:hAnsi="Times New Roman"/>
      </w:rPr>
    </w:lvl>
    <w:lvl w:ilvl="7">
      <w:numFmt w:val="bullet"/>
      <w:lvlText w:val="•"/>
      <w:lvlJc w:val="left"/>
      <w:rPr>
        <w:rFonts w:ascii="Times New Roman" w:hAnsi="Times New Roman"/>
      </w:rPr>
    </w:lvl>
    <w:lvl w:ilvl="8">
      <w:numFmt w:val="bullet"/>
      <w:lvlText w:val="•"/>
      <w:lvlJc w:val="left"/>
      <w:rPr>
        <w:rFonts w:ascii="Times New Roman" w:hAnsi="Times New Roman"/>
      </w:rPr>
    </w:lvl>
  </w:abstractNum>
  <w:abstractNum w:abstractNumId="17">
    <w:nsid w:val="501D34D2"/>
    <w:multiLevelType w:val="hybridMultilevel"/>
    <w:tmpl w:val="78864D9C"/>
    <w:lvl w:ilvl="0" w:tplc="BA12FCC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2A32A4"/>
    <w:multiLevelType w:val="multilevel"/>
    <w:tmpl w:val="D996F56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>
    <w:nsid w:val="523A47FF"/>
    <w:multiLevelType w:val="multilevel"/>
    <w:tmpl w:val="6A0A9862"/>
    <w:styleLink w:val="WW8Num16"/>
    <w:lvl w:ilvl="0">
      <w:numFmt w:val="bullet"/>
      <w:lvlText w:val="-"/>
      <w:lvlJc w:val="left"/>
      <w:rPr>
        <w:rFonts w:ascii="HelveticaNeue-Roman" w:eastAsia="Times New Roman" w:hAnsi="HelveticaNeue-Roman" w:cs="HelveticaNeue-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>
    <w:nsid w:val="53AE05F6"/>
    <w:multiLevelType w:val="multilevel"/>
    <w:tmpl w:val="C842FFA2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625F2609"/>
    <w:multiLevelType w:val="multilevel"/>
    <w:tmpl w:val="A5B8EF88"/>
    <w:styleLink w:val="WW8Num1"/>
    <w:lvl w:ilvl="0">
      <w:numFmt w:val="bullet"/>
      <w:lvlText w:val="*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67725094"/>
    <w:multiLevelType w:val="multilevel"/>
    <w:tmpl w:val="1D48B5F8"/>
    <w:styleLink w:val="WW8Num19"/>
    <w:lvl w:ilvl="0">
      <w:numFmt w:val="bullet"/>
      <w:lvlText w:val="-"/>
      <w:lvlJc w:val="left"/>
      <w:rPr>
        <w:rFonts w:ascii="Verdana" w:eastAsia="Times New Roman" w:hAnsi="Verdana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">
    <w:nsid w:val="6FC930CE"/>
    <w:multiLevelType w:val="multilevel"/>
    <w:tmpl w:val="1014504A"/>
    <w:styleLink w:val="WW8Num3"/>
    <w:lvl w:ilvl="0">
      <w:numFmt w:val="bullet"/>
      <w:lvlText w:val="-"/>
      <w:lvlJc w:val="left"/>
      <w:rPr>
        <w:rFonts w:ascii="Arial Narrow" w:eastAsia="Times New Roman" w:hAnsi="Arial Narrow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">
    <w:nsid w:val="7A0864AD"/>
    <w:multiLevelType w:val="multilevel"/>
    <w:tmpl w:val="FE828264"/>
    <w:styleLink w:val="WW8Num2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8"/>
  </w:num>
  <w:num w:numId="2">
    <w:abstractNumId w:val="21"/>
  </w:num>
  <w:num w:numId="3">
    <w:abstractNumId w:val="24"/>
  </w:num>
  <w:num w:numId="4">
    <w:abstractNumId w:val="23"/>
  </w:num>
  <w:num w:numId="5">
    <w:abstractNumId w:val="20"/>
  </w:num>
  <w:num w:numId="6">
    <w:abstractNumId w:val="15"/>
  </w:num>
  <w:num w:numId="7">
    <w:abstractNumId w:val="2"/>
  </w:num>
  <w:num w:numId="8">
    <w:abstractNumId w:val="7"/>
  </w:num>
  <w:num w:numId="9">
    <w:abstractNumId w:val="1"/>
  </w:num>
  <w:num w:numId="10">
    <w:abstractNumId w:val="12"/>
  </w:num>
  <w:num w:numId="11">
    <w:abstractNumId w:val="3"/>
  </w:num>
  <w:num w:numId="12">
    <w:abstractNumId w:val="0"/>
  </w:num>
  <w:num w:numId="13">
    <w:abstractNumId w:val="6"/>
  </w:num>
  <w:num w:numId="14">
    <w:abstractNumId w:val="5"/>
  </w:num>
  <w:num w:numId="15">
    <w:abstractNumId w:val="11"/>
  </w:num>
  <w:num w:numId="16">
    <w:abstractNumId w:val="16"/>
  </w:num>
  <w:num w:numId="17">
    <w:abstractNumId w:val="19"/>
  </w:num>
  <w:num w:numId="18">
    <w:abstractNumId w:val="13"/>
  </w:num>
  <w:num w:numId="19">
    <w:abstractNumId w:val="14"/>
  </w:num>
  <w:num w:numId="20">
    <w:abstractNumId w:val="22"/>
  </w:num>
  <w:num w:numId="21">
    <w:abstractNumId w:val="10"/>
  </w:num>
  <w:num w:numId="22">
    <w:abstractNumId w:val="18"/>
  </w:num>
  <w:num w:numId="23">
    <w:abstractNumId w:val="10"/>
    <w:lvlOverride w:ilvl="0">
      <w:startOverride w:val="1"/>
    </w:lvlOverride>
  </w:num>
  <w:num w:numId="24">
    <w:abstractNumId w:val="9"/>
  </w:num>
  <w:num w:numId="25">
    <w:abstractNumId w:val="4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32B"/>
    <w:rsid w:val="000D747D"/>
    <w:rsid w:val="00333602"/>
    <w:rsid w:val="003815F8"/>
    <w:rsid w:val="003917A8"/>
    <w:rsid w:val="004F632B"/>
    <w:rsid w:val="00554BEC"/>
    <w:rsid w:val="0072526E"/>
    <w:rsid w:val="00996C49"/>
    <w:rsid w:val="00A118B6"/>
    <w:rsid w:val="00DC6651"/>
    <w:rsid w:val="00E0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Titre1">
    <w:name w:val="heading 1"/>
    <w:basedOn w:val="Standard"/>
    <w:next w:val="Standar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Titre2">
    <w:name w:val="heading 2"/>
    <w:basedOn w:val="Standard"/>
    <w:next w:val="Standar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9">
    <w:name w:val="heading 9"/>
    <w:basedOn w:val="Standard"/>
    <w:next w:val="Standar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Style2">
    <w:name w:val="Style2"/>
    <w:basedOn w:val="Standard"/>
    <w:pPr>
      <w:ind w:right="100"/>
      <w:jc w:val="both"/>
    </w:pPr>
    <w:rPr>
      <w:sz w:val="18"/>
      <w:szCs w:val="18"/>
    </w:rPr>
  </w:style>
  <w:style w:type="paragraph" w:customStyle="1" w:styleId="StyleChapitre">
    <w:name w:val="Style Chapitre"/>
    <w:basedOn w:val="Standard"/>
    <w:pPr>
      <w:jc w:val="center"/>
    </w:pPr>
    <w:rPr>
      <w:b/>
      <w:sz w:val="28"/>
      <w:szCs w:val="23"/>
    </w:rPr>
  </w:style>
  <w:style w:type="paragraph" w:customStyle="1" w:styleId="StyleEC01Section">
    <w:name w:val="Style EC01Section"/>
    <w:basedOn w:val="Standard"/>
    <w:pPr>
      <w:jc w:val="both"/>
    </w:pPr>
    <w:rPr>
      <w:b/>
      <w:szCs w:val="23"/>
    </w:rPr>
  </w:style>
  <w:style w:type="paragraph" w:customStyle="1" w:styleId="StyleEC1sssection">
    <w:name w:val="StyleEC1 ss section"/>
    <w:basedOn w:val="Titre9"/>
    <w:pPr>
      <w:keepNext/>
      <w:spacing w:before="0" w:after="0" w:line="480" w:lineRule="auto"/>
      <w:jc w:val="both"/>
    </w:pPr>
    <w:rPr>
      <w:rFonts w:cs="Times New Roman"/>
      <w:sz w:val="24"/>
      <w:szCs w:val="23"/>
    </w:rPr>
  </w:style>
  <w:style w:type="paragraph" w:customStyle="1" w:styleId="Ouvragebesanonavril05">
    <w:name w:val="Ouvrage besançon avril05"/>
    <w:basedOn w:val="Titre1"/>
    <w:pPr>
      <w:spacing w:before="0" w:after="0"/>
      <w:jc w:val="both"/>
    </w:pPr>
    <w:rPr>
      <w:rFonts w:ascii="Times New Roman" w:hAnsi="Times New Roman" w:cs="Times New Roman"/>
      <w:bCs w:val="0"/>
      <w:caps/>
      <w:sz w:val="18"/>
      <w:szCs w:val="18"/>
    </w:rPr>
  </w:style>
  <w:style w:type="paragraph" w:customStyle="1" w:styleId="Style1">
    <w:name w:val="Style1"/>
    <w:basedOn w:val="Titre2"/>
    <w:pPr>
      <w:numPr>
        <w:ilvl w:val="1"/>
        <w:numId w:val="1"/>
      </w:numPr>
      <w:spacing w:before="0" w:after="0"/>
      <w:ind w:right="100"/>
      <w:jc w:val="both"/>
    </w:pPr>
    <w:rPr>
      <w:rFonts w:ascii="Times New Roman" w:hAnsi="Times New Roman"/>
      <w:b w:val="0"/>
      <w:vanish/>
      <w:sz w:val="18"/>
      <w:szCs w:val="18"/>
    </w:rPr>
  </w:style>
  <w:style w:type="paragraph" w:customStyle="1" w:styleId="paratablo">
    <w:name w:val="paratablo"/>
    <w:basedOn w:val="Standard"/>
    <w:pPr>
      <w:spacing w:before="60" w:after="60"/>
      <w:jc w:val="center"/>
    </w:pPr>
    <w:rPr>
      <w:rFonts w:ascii="Arial" w:hAnsi="Arial" w:cs="Arial"/>
      <w:sz w:val="18"/>
      <w:szCs w:val="18"/>
    </w:rPr>
  </w:style>
  <w:style w:type="paragraph" w:styleId="Textedebulles">
    <w:name w:val="Balloon Text"/>
    <w:basedOn w:val="Standard"/>
    <w:rPr>
      <w:rFonts w:ascii="Tahoma" w:hAnsi="Tahoma" w:cs="Tahoma"/>
      <w:sz w:val="16"/>
      <w:szCs w:val="16"/>
    </w:r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Style">
    <w:name w:val="Style"/>
    <w:pPr>
      <w:widowControl w:val="0"/>
      <w:suppressAutoHyphens/>
      <w:autoSpaceDE w:val="0"/>
      <w:autoSpaceDN w:val="0"/>
      <w:textAlignment w:val="baseline"/>
    </w:pPr>
    <w:rPr>
      <w:rFonts w:eastAsia="Arial" w:cs="Times New Roman"/>
      <w:kern w:val="3"/>
      <w:sz w:val="24"/>
      <w:szCs w:val="24"/>
      <w:lang w:eastAsia="zh-CN"/>
    </w:rPr>
  </w:style>
  <w:style w:type="paragraph" w:styleId="Paragraphedeliste">
    <w:name w:val="List Paragraph"/>
    <w:basedOn w:val="Standard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character" w:customStyle="1" w:styleId="WW8Num3z0">
    <w:name w:val="WW8Num3z0"/>
    <w:rPr>
      <w:rFonts w:ascii="Arial Narrow" w:eastAsia="Times New Roman" w:hAnsi="Arial Narrow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9z0">
    <w:name w:val="WW8Num9z0"/>
    <w:rPr>
      <w:rFonts w:ascii="Arial" w:eastAsia="Times New Roman" w:hAnsi="Arial" w:cs="Aria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5z0">
    <w:name w:val="WW8Num15z0"/>
    <w:rPr>
      <w:rFonts w:ascii="Times New Roman" w:hAnsi="Times New Roman"/>
    </w:rPr>
  </w:style>
  <w:style w:type="character" w:customStyle="1" w:styleId="WW8Num16z0">
    <w:name w:val="WW8Num16z0"/>
    <w:rPr>
      <w:rFonts w:ascii="HelveticaNeue-Roman" w:eastAsia="Times New Roman" w:hAnsi="HelveticaNeue-Roman" w:cs="HelveticaNeue-Roman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9z0">
    <w:name w:val="WW8Num19z0"/>
    <w:rPr>
      <w:rFonts w:ascii="Verdana" w:eastAsia="Times New Roman" w:hAnsi="Verdana" w:cs="Aria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St7z0">
    <w:name w:val="WW8NumSt7z0"/>
    <w:rPr>
      <w:rFonts w:ascii="Symbol" w:hAnsi="Symbol"/>
    </w:rPr>
  </w:style>
  <w:style w:type="character" w:styleId="Numrodepage">
    <w:name w:val="page number"/>
    <w:basedOn w:val="Policepardfaut"/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numbering" w:customStyle="1" w:styleId="WW8Num1">
    <w:name w:val="WW8Num1"/>
    <w:basedOn w:val="Aucuneliste"/>
    <w:pPr>
      <w:numPr>
        <w:numId w:val="2"/>
      </w:numPr>
    </w:pPr>
  </w:style>
  <w:style w:type="numbering" w:customStyle="1" w:styleId="WW8Num2">
    <w:name w:val="WW8Num2"/>
    <w:basedOn w:val="Aucuneliste"/>
    <w:pPr>
      <w:numPr>
        <w:numId w:val="3"/>
      </w:numPr>
    </w:pPr>
  </w:style>
  <w:style w:type="numbering" w:customStyle="1" w:styleId="WW8Num3">
    <w:name w:val="WW8Num3"/>
    <w:basedOn w:val="Aucuneliste"/>
    <w:pPr>
      <w:numPr>
        <w:numId w:val="4"/>
      </w:numPr>
    </w:pPr>
  </w:style>
  <w:style w:type="numbering" w:customStyle="1" w:styleId="WW8Num4">
    <w:name w:val="WW8Num4"/>
    <w:basedOn w:val="Aucuneliste"/>
    <w:pPr>
      <w:numPr>
        <w:numId w:val="5"/>
      </w:numPr>
    </w:pPr>
  </w:style>
  <w:style w:type="numbering" w:customStyle="1" w:styleId="WW8Num5">
    <w:name w:val="WW8Num5"/>
    <w:basedOn w:val="Aucuneliste"/>
    <w:pPr>
      <w:numPr>
        <w:numId w:val="6"/>
      </w:numPr>
    </w:pPr>
  </w:style>
  <w:style w:type="numbering" w:customStyle="1" w:styleId="WW8Num6">
    <w:name w:val="WW8Num6"/>
    <w:basedOn w:val="Aucuneliste"/>
    <w:pPr>
      <w:numPr>
        <w:numId w:val="7"/>
      </w:numPr>
    </w:pPr>
  </w:style>
  <w:style w:type="numbering" w:customStyle="1" w:styleId="WW8Num7">
    <w:name w:val="WW8Num7"/>
    <w:basedOn w:val="Aucuneliste"/>
    <w:pPr>
      <w:numPr>
        <w:numId w:val="8"/>
      </w:numPr>
    </w:pPr>
  </w:style>
  <w:style w:type="numbering" w:customStyle="1" w:styleId="WW8Num8">
    <w:name w:val="WW8Num8"/>
    <w:basedOn w:val="Aucuneliste"/>
    <w:pPr>
      <w:numPr>
        <w:numId w:val="9"/>
      </w:numPr>
    </w:pPr>
  </w:style>
  <w:style w:type="numbering" w:customStyle="1" w:styleId="WW8Num9">
    <w:name w:val="WW8Num9"/>
    <w:basedOn w:val="Aucuneliste"/>
    <w:pPr>
      <w:numPr>
        <w:numId w:val="10"/>
      </w:numPr>
    </w:pPr>
  </w:style>
  <w:style w:type="numbering" w:customStyle="1" w:styleId="WW8Num10">
    <w:name w:val="WW8Num10"/>
    <w:basedOn w:val="Aucuneliste"/>
    <w:pPr>
      <w:numPr>
        <w:numId w:val="11"/>
      </w:numPr>
    </w:pPr>
  </w:style>
  <w:style w:type="numbering" w:customStyle="1" w:styleId="WW8Num11">
    <w:name w:val="WW8Num11"/>
    <w:basedOn w:val="Aucuneliste"/>
    <w:pPr>
      <w:numPr>
        <w:numId w:val="12"/>
      </w:numPr>
    </w:pPr>
  </w:style>
  <w:style w:type="numbering" w:customStyle="1" w:styleId="WW8Num12">
    <w:name w:val="WW8Num12"/>
    <w:basedOn w:val="Aucuneliste"/>
    <w:pPr>
      <w:numPr>
        <w:numId w:val="13"/>
      </w:numPr>
    </w:pPr>
  </w:style>
  <w:style w:type="numbering" w:customStyle="1" w:styleId="WW8Num13">
    <w:name w:val="WW8Num13"/>
    <w:basedOn w:val="Aucuneliste"/>
    <w:pPr>
      <w:numPr>
        <w:numId w:val="14"/>
      </w:numPr>
    </w:pPr>
  </w:style>
  <w:style w:type="numbering" w:customStyle="1" w:styleId="WW8Num14">
    <w:name w:val="WW8Num14"/>
    <w:basedOn w:val="Aucuneliste"/>
    <w:pPr>
      <w:numPr>
        <w:numId w:val="15"/>
      </w:numPr>
    </w:pPr>
  </w:style>
  <w:style w:type="numbering" w:customStyle="1" w:styleId="WW8Num15">
    <w:name w:val="WW8Num15"/>
    <w:basedOn w:val="Aucuneliste"/>
    <w:pPr>
      <w:numPr>
        <w:numId w:val="16"/>
      </w:numPr>
    </w:pPr>
  </w:style>
  <w:style w:type="numbering" w:customStyle="1" w:styleId="WW8Num16">
    <w:name w:val="WW8Num16"/>
    <w:basedOn w:val="Aucuneliste"/>
    <w:pPr>
      <w:numPr>
        <w:numId w:val="17"/>
      </w:numPr>
    </w:pPr>
  </w:style>
  <w:style w:type="numbering" w:customStyle="1" w:styleId="WW8Num17">
    <w:name w:val="WW8Num17"/>
    <w:basedOn w:val="Aucuneliste"/>
    <w:pPr>
      <w:numPr>
        <w:numId w:val="18"/>
      </w:numPr>
    </w:pPr>
  </w:style>
  <w:style w:type="numbering" w:customStyle="1" w:styleId="WW8Num18">
    <w:name w:val="WW8Num18"/>
    <w:basedOn w:val="Aucuneliste"/>
    <w:pPr>
      <w:numPr>
        <w:numId w:val="19"/>
      </w:numPr>
    </w:pPr>
  </w:style>
  <w:style w:type="numbering" w:customStyle="1" w:styleId="WW8Num19">
    <w:name w:val="WW8Num19"/>
    <w:basedOn w:val="Aucuneliste"/>
    <w:pPr>
      <w:numPr>
        <w:numId w:val="2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Titre1">
    <w:name w:val="heading 1"/>
    <w:basedOn w:val="Standard"/>
    <w:next w:val="Standar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Titre2">
    <w:name w:val="heading 2"/>
    <w:basedOn w:val="Standard"/>
    <w:next w:val="Standar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9">
    <w:name w:val="heading 9"/>
    <w:basedOn w:val="Standard"/>
    <w:next w:val="Standar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Style2">
    <w:name w:val="Style2"/>
    <w:basedOn w:val="Standard"/>
    <w:pPr>
      <w:ind w:right="100"/>
      <w:jc w:val="both"/>
    </w:pPr>
    <w:rPr>
      <w:sz w:val="18"/>
      <w:szCs w:val="18"/>
    </w:rPr>
  </w:style>
  <w:style w:type="paragraph" w:customStyle="1" w:styleId="StyleChapitre">
    <w:name w:val="Style Chapitre"/>
    <w:basedOn w:val="Standard"/>
    <w:pPr>
      <w:jc w:val="center"/>
    </w:pPr>
    <w:rPr>
      <w:b/>
      <w:sz w:val="28"/>
      <w:szCs w:val="23"/>
    </w:rPr>
  </w:style>
  <w:style w:type="paragraph" w:customStyle="1" w:styleId="StyleEC01Section">
    <w:name w:val="Style EC01Section"/>
    <w:basedOn w:val="Standard"/>
    <w:pPr>
      <w:jc w:val="both"/>
    </w:pPr>
    <w:rPr>
      <w:b/>
      <w:szCs w:val="23"/>
    </w:rPr>
  </w:style>
  <w:style w:type="paragraph" w:customStyle="1" w:styleId="StyleEC1sssection">
    <w:name w:val="StyleEC1 ss section"/>
    <w:basedOn w:val="Titre9"/>
    <w:pPr>
      <w:keepNext/>
      <w:spacing w:before="0" w:after="0" w:line="480" w:lineRule="auto"/>
      <w:jc w:val="both"/>
    </w:pPr>
    <w:rPr>
      <w:rFonts w:cs="Times New Roman"/>
      <w:sz w:val="24"/>
      <w:szCs w:val="23"/>
    </w:rPr>
  </w:style>
  <w:style w:type="paragraph" w:customStyle="1" w:styleId="Ouvragebesanonavril05">
    <w:name w:val="Ouvrage besançon avril05"/>
    <w:basedOn w:val="Titre1"/>
    <w:pPr>
      <w:spacing w:before="0" w:after="0"/>
      <w:jc w:val="both"/>
    </w:pPr>
    <w:rPr>
      <w:rFonts w:ascii="Times New Roman" w:hAnsi="Times New Roman" w:cs="Times New Roman"/>
      <w:bCs w:val="0"/>
      <w:caps/>
      <w:sz w:val="18"/>
      <w:szCs w:val="18"/>
    </w:rPr>
  </w:style>
  <w:style w:type="paragraph" w:customStyle="1" w:styleId="Style1">
    <w:name w:val="Style1"/>
    <w:basedOn w:val="Titre2"/>
    <w:pPr>
      <w:numPr>
        <w:ilvl w:val="1"/>
        <w:numId w:val="1"/>
      </w:numPr>
      <w:spacing w:before="0" w:after="0"/>
      <w:ind w:right="100"/>
      <w:jc w:val="both"/>
    </w:pPr>
    <w:rPr>
      <w:rFonts w:ascii="Times New Roman" w:hAnsi="Times New Roman"/>
      <w:b w:val="0"/>
      <w:vanish/>
      <w:sz w:val="18"/>
      <w:szCs w:val="18"/>
    </w:rPr>
  </w:style>
  <w:style w:type="paragraph" w:customStyle="1" w:styleId="paratablo">
    <w:name w:val="paratablo"/>
    <w:basedOn w:val="Standard"/>
    <w:pPr>
      <w:spacing w:before="60" w:after="60"/>
      <w:jc w:val="center"/>
    </w:pPr>
    <w:rPr>
      <w:rFonts w:ascii="Arial" w:hAnsi="Arial" w:cs="Arial"/>
      <w:sz w:val="18"/>
      <w:szCs w:val="18"/>
    </w:rPr>
  </w:style>
  <w:style w:type="paragraph" w:styleId="Textedebulles">
    <w:name w:val="Balloon Text"/>
    <w:basedOn w:val="Standard"/>
    <w:rPr>
      <w:rFonts w:ascii="Tahoma" w:hAnsi="Tahoma" w:cs="Tahoma"/>
      <w:sz w:val="16"/>
      <w:szCs w:val="16"/>
    </w:r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Style">
    <w:name w:val="Style"/>
    <w:pPr>
      <w:widowControl w:val="0"/>
      <w:suppressAutoHyphens/>
      <w:autoSpaceDE w:val="0"/>
      <w:autoSpaceDN w:val="0"/>
      <w:textAlignment w:val="baseline"/>
    </w:pPr>
    <w:rPr>
      <w:rFonts w:eastAsia="Arial" w:cs="Times New Roman"/>
      <w:kern w:val="3"/>
      <w:sz w:val="24"/>
      <w:szCs w:val="24"/>
      <w:lang w:eastAsia="zh-CN"/>
    </w:rPr>
  </w:style>
  <w:style w:type="paragraph" w:styleId="Paragraphedeliste">
    <w:name w:val="List Paragraph"/>
    <w:basedOn w:val="Standard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character" w:customStyle="1" w:styleId="WW8Num3z0">
    <w:name w:val="WW8Num3z0"/>
    <w:rPr>
      <w:rFonts w:ascii="Arial Narrow" w:eastAsia="Times New Roman" w:hAnsi="Arial Narrow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9z0">
    <w:name w:val="WW8Num9z0"/>
    <w:rPr>
      <w:rFonts w:ascii="Arial" w:eastAsia="Times New Roman" w:hAnsi="Arial" w:cs="Aria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5z0">
    <w:name w:val="WW8Num15z0"/>
    <w:rPr>
      <w:rFonts w:ascii="Times New Roman" w:hAnsi="Times New Roman"/>
    </w:rPr>
  </w:style>
  <w:style w:type="character" w:customStyle="1" w:styleId="WW8Num16z0">
    <w:name w:val="WW8Num16z0"/>
    <w:rPr>
      <w:rFonts w:ascii="HelveticaNeue-Roman" w:eastAsia="Times New Roman" w:hAnsi="HelveticaNeue-Roman" w:cs="HelveticaNeue-Roman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9z0">
    <w:name w:val="WW8Num19z0"/>
    <w:rPr>
      <w:rFonts w:ascii="Verdana" w:eastAsia="Times New Roman" w:hAnsi="Verdana" w:cs="Aria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St7z0">
    <w:name w:val="WW8NumSt7z0"/>
    <w:rPr>
      <w:rFonts w:ascii="Symbol" w:hAnsi="Symbol"/>
    </w:rPr>
  </w:style>
  <w:style w:type="character" w:styleId="Numrodepage">
    <w:name w:val="page number"/>
    <w:basedOn w:val="Policepardfaut"/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numbering" w:customStyle="1" w:styleId="WW8Num1">
    <w:name w:val="WW8Num1"/>
    <w:basedOn w:val="Aucuneliste"/>
    <w:pPr>
      <w:numPr>
        <w:numId w:val="2"/>
      </w:numPr>
    </w:pPr>
  </w:style>
  <w:style w:type="numbering" w:customStyle="1" w:styleId="WW8Num2">
    <w:name w:val="WW8Num2"/>
    <w:basedOn w:val="Aucuneliste"/>
    <w:pPr>
      <w:numPr>
        <w:numId w:val="3"/>
      </w:numPr>
    </w:pPr>
  </w:style>
  <w:style w:type="numbering" w:customStyle="1" w:styleId="WW8Num3">
    <w:name w:val="WW8Num3"/>
    <w:basedOn w:val="Aucuneliste"/>
    <w:pPr>
      <w:numPr>
        <w:numId w:val="4"/>
      </w:numPr>
    </w:pPr>
  </w:style>
  <w:style w:type="numbering" w:customStyle="1" w:styleId="WW8Num4">
    <w:name w:val="WW8Num4"/>
    <w:basedOn w:val="Aucuneliste"/>
    <w:pPr>
      <w:numPr>
        <w:numId w:val="5"/>
      </w:numPr>
    </w:pPr>
  </w:style>
  <w:style w:type="numbering" w:customStyle="1" w:styleId="WW8Num5">
    <w:name w:val="WW8Num5"/>
    <w:basedOn w:val="Aucuneliste"/>
    <w:pPr>
      <w:numPr>
        <w:numId w:val="6"/>
      </w:numPr>
    </w:pPr>
  </w:style>
  <w:style w:type="numbering" w:customStyle="1" w:styleId="WW8Num6">
    <w:name w:val="WW8Num6"/>
    <w:basedOn w:val="Aucuneliste"/>
    <w:pPr>
      <w:numPr>
        <w:numId w:val="7"/>
      </w:numPr>
    </w:pPr>
  </w:style>
  <w:style w:type="numbering" w:customStyle="1" w:styleId="WW8Num7">
    <w:name w:val="WW8Num7"/>
    <w:basedOn w:val="Aucuneliste"/>
    <w:pPr>
      <w:numPr>
        <w:numId w:val="8"/>
      </w:numPr>
    </w:pPr>
  </w:style>
  <w:style w:type="numbering" w:customStyle="1" w:styleId="WW8Num8">
    <w:name w:val="WW8Num8"/>
    <w:basedOn w:val="Aucuneliste"/>
    <w:pPr>
      <w:numPr>
        <w:numId w:val="9"/>
      </w:numPr>
    </w:pPr>
  </w:style>
  <w:style w:type="numbering" w:customStyle="1" w:styleId="WW8Num9">
    <w:name w:val="WW8Num9"/>
    <w:basedOn w:val="Aucuneliste"/>
    <w:pPr>
      <w:numPr>
        <w:numId w:val="10"/>
      </w:numPr>
    </w:pPr>
  </w:style>
  <w:style w:type="numbering" w:customStyle="1" w:styleId="WW8Num10">
    <w:name w:val="WW8Num10"/>
    <w:basedOn w:val="Aucuneliste"/>
    <w:pPr>
      <w:numPr>
        <w:numId w:val="11"/>
      </w:numPr>
    </w:pPr>
  </w:style>
  <w:style w:type="numbering" w:customStyle="1" w:styleId="WW8Num11">
    <w:name w:val="WW8Num11"/>
    <w:basedOn w:val="Aucuneliste"/>
    <w:pPr>
      <w:numPr>
        <w:numId w:val="12"/>
      </w:numPr>
    </w:pPr>
  </w:style>
  <w:style w:type="numbering" w:customStyle="1" w:styleId="WW8Num12">
    <w:name w:val="WW8Num12"/>
    <w:basedOn w:val="Aucuneliste"/>
    <w:pPr>
      <w:numPr>
        <w:numId w:val="13"/>
      </w:numPr>
    </w:pPr>
  </w:style>
  <w:style w:type="numbering" w:customStyle="1" w:styleId="WW8Num13">
    <w:name w:val="WW8Num13"/>
    <w:basedOn w:val="Aucuneliste"/>
    <w:pPr>
      <w:numPr>
        <w:numId w:val="14"/>
      </w:numPr>
    </w:pPr>
  </w:style>
  <w:style w:type="numbering" w:customStyle="1" w:styleId="WW8Num14">
    <w:name w:val="WW8Num14"/>
    <w:basedOn w:val="Aucuneliste"/>
    <w:pPr>
      <w:numPr>
        <w:numId w:val="15"/>
      </w:numPr>
    </w:pPr>
  </w:style>
  <w:style w:type="numbering" w:customStyle="1" w:styleId="WW8Num15">
    <w:name w:val="WW8Num15"/>
    <w:basedOn w:val="Aucuneliste"/>
    <w:pPr>
      <w:numPr>
        <w:numId w:val="16"/>
      </w:numPr>
    </w:pPr>
  </w:style>
  <w:style w:type="numbering" w:customStyle="1" w:styleId="WW8Num16">
    <w:name w:val="WW8Num16"/>
    <w:basedOn w:val="Aucuneliste"/>
    <w:pPr>
      <w:numPr>
        <w:numId w:val="17"/>
      </w:numPr>
    </w:pPr>
  </w:style>
  <w:style w:type="numbering" w:customStyle="1" w:styleId="WW8Num17">
    <w:name w:val="WW8Num17"/>
    <w:basedOn w:val="Aucuneliste"/>
    <w:pPr>
      <w:numPr>
        <w:numId w:val="18"/>
      </w:numPr>
    </w:pPr>
  </w:style>
  <w:style w:type="numbering" w:customStyle="1" w:styleId="WW8Num18">
    <w:name w:val="WW8Num18"/>
    <w:basedOn w:val="Aucuneliste"/>
    <w:pPr>
      <w:numPr>
        <w:numId w:val="19"/>
      </w:numPr>
    </w:pPr>
  </w:style>
  <w:style w:type="numbering" w:customStyle="1" w:styleId="WW8Num19">
    <w:name w:val="WW8Num19"/>
    <w:basedOn w:val="Aucuneliste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39C82-43DA-419A-A8F8-E596528CE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676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fondateurs de Genesis Genomics sont passés du</vt:lpstr>
    </vt:vector>
  </TitlesOfParts>
  <Company>Microsoft</Company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fondateurs de Genesis Genomics sont passés du</dc:title>
  <dc:creator>fpicard</dc:creator>
  <cp:lastModifiedBy>nkroichv</cp:lastModifiedBy>
  <cp:revision>5</cp:revision>
  <cp:lastPrinted>2011-04-15T16:56:00Z</cp:lastPrinted>
  <dcterms:created xsi:type="dcterms:W3CDTF">2012-01-24T22:11:00Z</dcterms:created>
  <dcterms:modified xsi:type="dcterms:W3CDTF">2012-01-24T22:13:00Z</dcterms:modified>
</cp:coreProperties>
</file>