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BC" w:rsidRPr="002052BF" w:rsidRDefault="002A42BC" w:rsidP="002A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-426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Question 2 : la durée du travail en 10 affirmations</w:t>
      </w:r>
    </w:p>
    <w:p w:rsidR="002A42BC" w:rsidRDefault="002A42BC" w:rsidP="002A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-426"/>
        <w:jc w:val="center"/>
        <w:rPr>
          <w:i/>
        </w:rPr>
      </w:pPr>
      <w:r w:rsidRPr="002052BF">
        <w:rPr>
          <w:i/>
        </w:rPr>
        <w:t>(Barème : +0.</w:t>
      </w:r>
      <w:r w:rsidR="004A6CDC">
        <w:rPr>
          <w:i/>
        </w:rPr>
        <w:t>1</w:t>
      </w:r>
      <w:r w:rsidRPr="002052BF">
        <w:rPr>
          <w:i/>
        </w:rPr>
        <w:t xml:space="preserve"> si bonne réponse, -0.</w:t>
      </w:r>
      <w:r w:rsidR="004A6CDC">
        <w:rPr>
          <w:i/>
        </w:rPr>
        <w:t>1</w:t>
      </w:r>
      <w:r w:rsidRPr="002052BF">
        <w:rPr>
          <w:i/>
        </w:rPr>
        <w:t xml:space="preserve"> si mauvaise réponse, 0 si absence de réponse)</w:t>
      </w:r>
    </w:p>
    <w:p w:rsidR="000E0499" w:rsidRDefault="000E0499"/>
    <w:p w:rsidR="002A42BC" w:rsidRPr="00D6679A" w:rsidRDefault="002A42BC" w:rsidP="002A42BC">
      <w:pPr>
        <w:jc w:val="center"/>
        <w:rPr>
          <w:rFonts w:ascii="Arial" w:hAnsi="Arial" w:cs="Arial"/>
          <w:b/>
        </w:rPr>
      </w:pPr>
      <w:r w:rsidRPr="00D6679A">
        <w:rPr>
          <w:rFonts w:ascii="Arial" w:hAnsi="Arial" w:cs="Arial"/>
          <w:b/>
        </w:rPr>
        <w:t xml:space="preserve">Lisez très attentivement les 10 affirmations suivantes </w:t>
      </w:r>
      <w:r>
        <w:rPr>
          <w:rFonts w:ascii="Arial" w:hAnsi="Arial" w:cs="Arial"/>
          <w:b/>
        </w:rPr>
        <w:t xml:space="preserve">                                                          </w:t>
      </w:r>
      <w:r w:rsidRPr="00D6679A">
        <w:rPr>
          <w:rFonts w:ascii="Arial" w:hAnsi="Arial" w:cs="Arial"/>
          <w:b/>
        </w:rPr>
        <w:t>et répondez par VRAI ou FAUX</w:t>
      </w:r>
      <w:r>
        <w:rPr>
          <w:rFonts w:ascii="Arial" w:hAnsi="Arial" w:cs="Arial"/>
          <w:b/>
        </w:rPr>
        <w:t xml:space="preserve"> avec vos éventuelles observations</w:t>
      </w:r>
    </w:p>
    <w:p w:rsidR="002A42BC" w:rsidRDefault="002A42BC" w:rsidP="002A42BC">
      <w:pPr>
        <w:jc w:val="center"/>
      </w:pPr>
      <w:r w:rsidRPr="00D6679A">
        <w:rPr>
          <w:rFonts w:ascii="Arial" w:hAnsi="Arial" w:cs="Arial"/>
          <w:i/>
          <w:sz w:val="20"/>
          <w:szCs w:val="20"/>
        </w:rPr>
        <w:t>(N’oubliez pas d’indiquer vos nom et prénom en haut de cette feuille et de la signer)</w:t>
      </w:r>
    </w:p>
    <w:tbl>
      <w:tblPr>
        <w:tblpPr w:leftFromText="141" w:rightFromText="141" w:vertAnchor="page" w:horzAnchor="margin" w:tblpXSpec="center" w:tblpY="4366"/>
        <w:tblW w:w="100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69"/>
        <w:gridCol w:w="709"/>
        <w:gridCol w:w="709"/>
        <w:gridCol w:w="1701"/>
      </w:tblGrid>
      <w:tr w:rsidR="002A42BC" w:rsidRPr="008A65BF" w:rsidTr="002A42BC">
        <w:trPr>
          <w:trHeight w:val="402"/>
        </w:trPr>
        <w:tc>
          <w:tcPr>
            <w:tcW w:w="69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8A65BF" w:rsidRDefault="002A42BC" w:rsidP="002A42BC">
            <w:pPr>
              <w:ind w:left="164" w:right="-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2A42BC" w:rsidRPr="008A65BF" w:rsidRDefault="002A42BC" w:rsidP="002A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5BF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2A42BC" w:rsidRPr="008A65BF" w:rsidRDefault="002A42BC" w:rsidP="002A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5BF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A42BC" w:rsidRPr="008A65BF" w:rsidRDefault="002A42BC" w:rsidP="002A42B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A42BC" w:rsidRPr="008A65BF" w:rsidRDefault="002A42BC" w:rsidP="002A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5BF"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2A42BC" w:rsidRPr="00BD7558" w:rsidTr="00D34285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2A42BC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BC" w:rsidRDefault="00D34285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sigle </w:t>
            </w:r>
            <w:r w:rsidR="002A42BC">
              <w:rPr>
                <w:rFonts w:ascii="Arial" w:hAnsi="Arial" w:cs="Arial"/>
                <w:sz w:val="20"/>
                <w:szCs w:val="20"/>
              </w:rPr>
              <w:t xml:space="preserve">TTE </w:t>
            </w:r>
            <w:r w:rsidR="004E4F6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="004E4F6F">
              <w:rPr>
                <w:rFonts w:ascii="Arial" w:hAnsi="Arial" w:cs="Arial"/>
                <w:sz w:val="20"/>
                <w:szCs w:val="20"/>
              </w:rPr>
              <w:t xml:space="preserve"> signifie « </w:t>
            </w:r>
            <w:r w:rsidR="002A42BC">
              <w:rPr>
                <w:rFonts w:ascii="Arial" w:hAnsi="Arial" w:cs="Arial"/>
                <w:sz w:val="20"/>
                <w:szCs w:val="20"/>
              </w:rPr>
              <w:t>Temps de Travail Exécuté</w:t>
            </w:r>
            <w:r w:rsidR="004E4F6F">
              <w:rPr>
                <w:rFonts w:ascii="Arial" w:hAnsi="Arial" w:cs="Arial"/>
                <w:sz w:val="20"/>
                <w:szCs w:val="20"/>
              </w:rPr>
              <w:t> »</w:t>
            </w:r>
          </w:p>
          <w:p w:rsidR="002A42BC" w:rsidRPr="00FE4474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42BC" w:rsidRPr="00BD7558" w:rsidRDefault="002A42BC" w:rsidP="002A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BC" w:rsidRPr="00BD7558" w:rsidTr="00D34285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2A42BC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durée maximum de TTE quotidien prévu par les textes                est généralement de 10 heures par jour</w:t>
            </w:r>
          </w:p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2A42BC" w:rsidRPr="00FE4474" w:rsidRDefault="002A42BC" w:rsidP="002A42BC">
            <w:pPr>
              <w:ind w:left="164" w:right="-34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42BC" w:rsidRPr="00BD7558" w:rsidRDefault="002A42BC" w:rsidP="002A4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2BC" w:rsidRPr="00BD7558" w:rsidTr="00D34285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2A42BC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heures de récupération réalisées doivent être obligatoirement majorées lorsque la durée légale du travail est dépassée</w:t>
            </w:r>
          </w:p>
          <w:p w:rsidR="002A42BC" w:rsidRPr="00FE4474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42BC" w:rsidRPr="00BD7558" w:rsidRDefault="002A42BC" w:rsidP="002A42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42BC" w:rsidRPr="00BD7558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2A42BC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repos hebdomadaire doit durer                                                                    au minimum 35 heures consécutives</w:t>
            </w:r>
          </w:p>
          <w:p w:rsidR="002A42BC" w:rsidRPr="00FE4474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42BC" w:rsidRPr="00BD7558" w:rsidRDefault="002A42BC" w:rsidP="002A42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42BC" w:rsidRPr="00BD7558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2A42BC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refus d’exécuter des heures supplémentaires</w:t>
            </w:r>
            <w:r w:rsidR="00D34285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par un salarié peut </w:t>
            </w:r>
            <w:r w:rsidR="00D34285">
              <w:rPr>
                <w:rFonts w:ascii="Arial" w:hAnsi="Arial" w:cs="Arial"/>
                <w:sz w:val="20"/>
                <w:szCs w:val="20"/>
              </w:rPr>
              <w:t xml:space="preserve">éventuellement </w:t>
            </w:r>
            <w:r w:rsidR="003E62DF">
              <w:rPr>
                <w:rFonts w:ascii="Arial" w:hAnsi="Arial" w:cs="Arial"/>
                <w:sz w:val="20"/>
                <w:szCs w:val="20"/>
              </w:rPr>
              <w:t>entrainer son</w:t>
            </w:r>
            <w:r>
              <w:rPr>
                <w:rFonts w:ascii="Arial" w:hAnsi="Arial" w:cs="Arial"/>
                <w:sz w:val="20"/>
                <w:szCs w:val="20"/>
              </w:rPr>
              <w:t xml:space="preserve"> licenciement</w:t>
            </w:r>
          </w:p>
          <w:p w:rsidR="002A42BC" w:rsidRPr="00FE4474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42BC" w:rsidRPr="00BD7558" w:rsidRDefault="002A42BC" w:rsidP="002A42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42BC" w:rsidRPr="00BD7558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2A42BC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BC" w:rsidRPr="00FE4474" w:rsidRDefault="003E62DF" w:rsidP="004E4F6F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L’application du régime du </w:t>
            </w:r>
            <w:r w:rsidR="002A42BC">
              <w:rPr>
                <w:rFonts w:ascii="Arial" w:hAnsi="Arial" w:cs="Arial"/>
                <w:sz w:val="20"/>
                <w:szCs w:val="20"/>
              </w:rPr>
              <w:t>forfai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A42BC">
              <w:rPr>
                <w:rFonts w:ascii="Arial" w:hAnsi="Arial" w:cs="Arial"/>
                <w:sz w:val="20"/>
                <w:szCs w:val="20"/>
              </w:rPr>
              <w:t xml:space="preserve"> jour</w:t>
            </w:r>
            <w:r w:rsidR="00D3428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annuel (218 jours par an)</w:t>
            </w:r>
            <w:r w:rsidR="002A42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="002A42BC">
              <w:rPr>
                <w:rFonts w:ascii="Arial" w:hAnsi="Arial" w:cs="Arial"/>
                <w:sz w:val="20"/>
                <w:szCs w:val="20"/>
              </w:rPr>
              <w:t xml:space="preserve">signifie que le décompte du temps de travail est calculé </w:t>
            </w:r>
            <w:r w:rsidR="00D34285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4E4F6F">
              <w:rPr>
                <w:rFonts w:ascii="Arial" w:hAnsi="Arial" w:cs="Arial"/>
                <w:sz w:val="20"/>
                <w:szCs w:val="20"/>
              </w:rPr>
              <w:t>uniquement sur la base du</w:t>
            </w:r>
            <w:r w:rsidR="002A42BC">
              <w:rPr>
                <w:rFonts w:ascii="Arial" w:hAnsi="Arial" w:cs="Arial"/>
                <w:sz w:val="20"/>
                <w:szCs w:val="20"/>
              </w:rPr>
              <w:t xml:space="preserve"> nombre de jour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342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travail </w:t>
            </w:r>
            <w:r w:rsidR="004E4F6F">
              <w:rPr>
                <w:rFonts w:ascii="Arial" w:hAnsi="Arial" w:cs="Arial"/>
                <w:sz w:val="20"/>
                <w:szCs w:val="20"/>
              </w:rPr>
              <w:t xml:space="preserve">effectué           </w:t>
            </w:r>
            <w:r>
              <w:rPr>
                <w:rFonts w:ascii="Arial" w:hAnsi="Arial" w:cs="Arial"/>
                <w:sz w:val="20"/>
                <w:szCs w:val="20"/>
              </w:rPr>
              <w:t>par an</w:t>
            </w:r>
            <w:r w:rsidR="00D34285">
              <w:rPr>
                <w:rFonts w:ascii="Arial" w:hAnsi="Arial" w:cs="Arial"/>
                <w:sz w:val="20"/>
                <w:szCs w:val="20"/>
              </w:rPr>
              <w:t xml:space="preserve"> sans aucune autre contrainte liée à la</w:t>
            </w:r>
            <w:r w:rsidR="002A42BC">
              <w:rPr>
                <w:rFonts w:ascii="Arial" w:hAnsi="Arial" w:cs="Arial"/>
                <w:sz w:val="20"/>
                <w:szCs w:val="20"/>
              </w:rPr>
              <w:t xml:space="preserve"> durée du travail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42BC" w:rsidRPr="00BD7558" w:rsidRDefault="002A42BC" w:rsidP="002A42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42BC" w:rsidRPr="00BD7558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2A42BC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BC" w:rsidRPr="00FE4474" w:rsidRDefault="002A42BC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bénéficier des dérogations de la loi dite Macron relatives           au travail du dimanche, l’employeur doit respecter</w:t>
            </w:r>
            <w:r w:rsidR="004E4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285">
              <w:rPr>
                <w:rFonts w:ascii="Arial" w:hAnsi="Arial" w:cs="Arial"/>
                <w:sz w:val="20"/>
                <w:szCs w:val="20"/>
              </w:rPr>
              <w:t>3 conditions</w:t>
            </w:r>
            <w:r>
              <w:rPr>
                <w:rFonts w:ascii="Arial" w:hAnsi="Arial" w:cs="Arial"/>
                <w:sz w:val="20"/>
                <w:szCs w:val="20"/>
              </w:rPr>
              <w:t> : obtenir l’accord salarié, prévoir des contrepartie</w:t>
            </w:r>
            <w:r w:rsidR="004E4F6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28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et accorder </w:t>
            </w:r>
            <w:r w:rsidR="004E4F6F">
              <w:rPr>
                <w:rFonts w:ascii="Arial" w:hAnsi="Arial" w:cs="Arial"/>
                <w:sz w:val="20"/>
                <w:szCs w:val="20"/>
              </w:rPr>
              <w:t xml:space="preserve">au salarié </w:t>
            </w:r>
            <w:r>
              <w:rPr>
                <w:rFonts w:ascii="Arial" w:hAnsi="Arial" w:cs="Arial"/>
                <w:sz w:val="20"/>
                <w:szCs w:val="20"/>
              </w:rPr>
              <w:t>le repos le dimanche par roulement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42BC" w:rsidRPr="00BD7558" w:rsidRDefault="002A42BC" w:rsidP="002A42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42BC" w:rsidRPr="00BD7558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2A42BC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faisant abstraction d</w:t>
            </w:r>
            <w:r w:rsidR="00D34285">
              <w:rPr>
                <w:rFonts w:ascii="Arial" w:hAnsi="Arial" w:cs="Arial"/>
                <w:sz w:val="20"/>
                <w:szCs w:val="20"/>
              </w:rPr>
              <w:t>e la 5° semaine de congés payés                           u</w:t>
            </w:r>
            <w:r>
              <w:rPr>
                <w:rFonts w:ascii="Arial" w:hAnsi="Arial" w:cs="Arial"/>
                <w:sz w:val="20"/>
                <w:szCs w:val="20"/>
              </w:rPr>
              <w:t>n employeur peut imposer à ses salariés trois semaine</w:t>
            </w:r>
            <w:r w:rsidR="00D3428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de congés payés annuels au mois d’avril</w:t>
            </w:r>
          </w:p>
          <w:p w:rsidR="002A42BC" w:rsidRPr="00FE4474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42BC" w:rsidRPr="00BD7558" w:rsidRDefault="002A42BC" w:rsidP="002A42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42BC" w:rsidRPr="00761483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2A42BC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4285" w:rsidRDefault="00D34285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sigle </w:t>
            </w:r>
            <w:r w:rsidR="002A42BC">
              <w:rPr>
                <w:rFonts w:ascii="Arial" w:hAnsi="Arial" w:cs="Arial"/>
                <w:sz w:val="20"/>
                <w:szCs w:val="20"/>
              </w:rPr>
              <w:t xml:space="preserve">CET signifie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2A42BC" w:rsidRDefault="00D34285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«</w:t>
            </w:r>
            <w:r w:rsidR="002A42BC">
              <w:rPr>
                <w:rFonts w:ascii="Arial" w:hAnsi="Arial" w:cs="Arial"/>
                <w:sz w:val="20"/>
                <w:szCs w:val="20"/>
              </w:rPr>
              <w:t> Compte Epargne Temps »</w:t>
            </w:r>
          </w:p>
          <w:p w:rsidR="002A42BC" w:rsidRPr="00FE4474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42BC" w:rsidRPr="00761483" w:rsidRDefault="002A42BC" w:rsidP="002A42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A42BC" w:rsidRPr="007B2B01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2A42BC" w:rsidRPr="00D6679A" w:rsidRDefault="002A42BC" w:rsidP="002A42BC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BC" w:rsidRDefault="002A42BC" w:rsidP="002A42BC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Selon la loi, les jours fériés </w:t>
            </w:r>
            <w:r w:rsidR="004E4F6F">
              <w:rPr>
                <w:rFonts w:ascii="Arial" w:hAnsi="Arial" w:cs="Arial"/>
                <w:sz w:val="20"/>
                <w:szCs w:val="20"/>
              </w:rPr>
              <w:t>doivent</w:t>
            </w:r>
            <w:r w:rsidR="003E62DF">
              <w:rPr>
                <w:rFonts w:ascii="Arial" w:hAnsi="Arial" w:cs="Arial"/>
                <w:sz w:val="20"/>
                <w:szCs w:val="20"/>
              </w:rPr>
              <w:t xml:space="preserve"> être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2A42BC" w:rsidRDefault="002A42BC" w:rsidP="002A42BC">
            <w:pPr>
              <w:pStyle w:val="Paragraphedeliste"/>
              <w:numPr>
                <w:ilvl w:val="0"/>
                <w:numId w:val="1"/>
              </w:numPr>
              <w:ind w:right="-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7757C">
              <w:rPr>
                <w:rFonts w:ascii="Arial" w:hAnsi="Arial" w:cs="Arial"/>
                <w:sz w:val="20"/>
                <w:szCs w:val="20"/>
              </w:rPr>
              <w:t xml:space="preserve">oit chômés, </w:t>
            </w:r>
            <w:r>
              <w:rPr>
                <w:rFonts w:ascii="Arial" w:hAnsi="Arial" w:cs="Arial"/>
                <w:sz w:val="20"/>
                <w:szCs w:val="20"/>
              </w:rPr>
              <w:t>c’est-dire soit non travaillés</w:t>
            </w:r>
          </w:p>
          <w:p w:rsidR="002A42BC" w:rsidRPr="00FE4474" w:rsidRDefault="003E62DF" w:rsidP="002A42BC">
            <w:pPr>
              <w:pStyle w:val="Paragraphedeliste"/>
              <w:numPr>
                <w:ilvl w:val="0"/>
                <w:numId w:val="1"/>
              </w:numPr>
              <w:ind w:right="-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Soit faire </w:t>
            </w:r>
            <w:r w:rsidR="00D34285">
              <w:rPr>
                <w:rFonts w:ascii="Arial" w:hAnsi="Arial" w:cs="Arial"/>
                <w:sz w:val="20"/>
                <w:szCs w:val="20"/>
              </w:rPr>
              <w:t xml:space="preserve">obligatoirement </w:t>
            </w:r>
            <w:r w:rsidR="002A42BC">
              <w:rPr>
                <w:rFonts w:ascii="Arial" w:hAnsi="Arial" w:cs="Arial"/>
                <w:sz w:val="20"/>
                <w:szCs w:val="20"/>
              </w:rPr>
              <w:t>faire</w:t>
            </w:r>
            <w:r>
              <w:rPr>
                <w:rFonts w:ascii="Arial" w:hAnsi="Arial" w:cs="Arial"/>
                <w:sz w:val="20"/>
                <w:szCs w:val="20"/>
              </w:rPr>
              <w:t xml:space="preserve"> l’objet d’une majoration de salaire pour les salariés concernés, s’ils sont travaillés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42BC" w:rsidRPr="00FE4474" w:rsidRDefault="002A42BC" w:rsidP="002A42B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42BC" w:rsidRPr="007B2B01" w:rsidRDefault="002A42BC" w:rsidP="002A42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97EDB" w:rsidRDefault="00C97EDB" w:rsidP="00C97EDB"/>
    <w:p w:rsidR="00C97EDB" w:rsidRDefault="00C97EDB" w:rsidP="00C97EDB">
      <w:pPr>
        <w:jc w:val="center"/>
        <w:rPr>
          <w:rFonts w:ascii="Arial" w:hAnsi="Arial" w:cs="Arial"/>
          <w:b/>
        </w:rPr>
      </w:pPr>
    </w:p>
    <w:p w:rsidR="00C97EDB" w:rsidRDefault="00C97EDB" w:rsidP="00C97EDB">
      <w:pPr>
        <w:jc w:val="center"/>
        <w:rPr>
          <w:rFonts w:ascii="Arial" w:hAnsi="Arial" w:cs="Arial"/>
          <w:b/>
        </w:rPr>
      </w:pPr>
    </w:p>
    <w:p w:rsidR="00C97EDB" w:rsidRDefault="00C97EDB" w:rsidP="00C97EDB">
      <w:pPr>
        <w:jc w:val="center"/>
        <w:rPr>
          <w:rFonts w:ascii="Arial" w:hAnsi="Arial" w:cs="Arial"/>
          <w:b/>
        </w:rPr>
      </w:pPr>
    </w:p>
    <w:p w:rsidR="00C97EDB" w:rsidRPr="002052BF" w:rsidRDefault="00C97EDB" w:rsidP="00C97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Question 3 : vos TD en 10 affirmations</w:t>
      </w:r>
    </w:p>
    <w:p w:rsidR="00C97EDB" w:rsidRDefault="00C97EDB" w:rsidP="00C97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 w:right="-426"/>
        <w:jc w:val="center"/>
        <w:rPr>
          <w:i/>
        </w:rPr>
      </w:pPr>
      <w:r w:rsidRPr="002052BF">
        <w:rPr>
          <w:i/>
        </w:rPr>
        <w:t>(Barème : +0.</w:t>
      </w:r>
      <w:r>
        <w:rPr>
          <w:i/>
        </w:rPr>
        <w:t>1</w:t>
      </w:r>
      <w:r w:rsidRPr="002052BF">
        <w:rPr>
          <w:i/>
        </w:rPr>
        <w:t xml:space="preserve"> si bonne réponse, -0.</w:t>
      </w:r>
      <w:r>
        <w:rPr>
          <w:i/>
        </w:rPr>
        <w:t>1</w:t>
      </w:r>
      <w:r w:rsidRPr="002052BF">
        <w:rPr>
          <w:i/>
        </w:rPr>
        <w:t xml:space="preserve"> si mauvaise réponse, 0 si absence de réponse)</w:t>
      </w:r>
    </w:p>
    <w:p w:rsidR="00C97EDB" w:rsidRDefault="00C97EDB" w:rsidP="00C97EDB">
      <w:pPr>
        <w:jc w:val="center"/>
        <w:rPr>
          <w:rFonts w:ascii="Arial" w:hAnsi="Arial" w:cs="Arial"/>
          <w:b/>
        </w:rPr>
      </w:pPr>
    </w:p>
    <w:p w:rsidR="00C97EDB" w:rsidRDefault="00C97EDB" w:rsidP="00C97EDB">
      <w:pPr>
        <w:jc w:val="center"/>
        <w:rPr>
          <w:rFonts w:ascii="Arial" w:hAnsi="Arial" w:cs="Arial"/>
          <w:b/>
        </w:rPr>
      </w:pPr>
    </w:p>
    <w:p w:rsidR="00C97EDB" w:rsidRPr="00D6679A" w:rsidRDefault="00C97EDB" w:rsidP="00C97EDB">
      <w:pPr>
        <w:jc w:val="center"/>
        <w:rPr>
          <w:rFonts w:ascii="Arial" w:hAnsi="Arial" w:cs="Arial"/>
          <w:b/>
        </w:rPr>
      </w:pPr>
      <w:r w:rsidRPr="00D6679A">
        <w:rPr>
          <w:rFonts w:ascii="Arial" w:hAnsi="Arial" w:cs="Arial"/>
          <w:b/>
        </w:rPr>
        <w:t xml:space="preserve">Lisez très attentivement les 10 affirmations suivantes </w:t>
      </w:r>
      <w:r>
        <w:rPr>
          <w:rFonts w:ascii="Arial" w:hAnsi="Arial" w:cs="Arial"/>
          <w:b/>
        </w:rPr>
        <w:t xml:space="preserve">                                                          </w:t>
      </w:r>
      <w:r w:rsidRPr="00D6679A">
        <w:rPr>
          <w:rFonts w:ascii="Arial" w:hAnsi="Arial" w:cs="Arial"/>
          <w:b/>
        </w:rPr>
        <w:t>et répondez par VRAI ou FAUX</w:t>
      </w:r>
      <w:r>
        <w:rPr>
          <w:rFonts w:ascii="Arial" w:hAnsi="Arial" w:cs="Arial"/>
          <w:b/>
        </w:rPr>
        <w:t xml:space="preserve"> avec vos éventuelles observations</w:t>
      </w:r>
    </w:p>
    <w:p w:rsidR="00C97EDB" w:rsidRDefault="00C97EDB" w:rsidP="00C97EDB">
      <w:pPr>
        <w:jc w:val="center"/>
      </w:pPr>
      <w:r w:rsidRPr="00D6679A">
        <w:rPr>
          <w:rFonts w:ascii="Arial" w:hAnsi="Arial" w:cs="Arial"/>
          <w:i/>
          <w:sz w:val="20"/>
          <w:szCs w:val="20"/>
        </w:rPr>
        <w:t>(N’oubliez pas d’indiquer vos nom et prénom en haut de cette feuille et de la signer)</w:t>
      </w:r>
    </w:p>
    <w:tbl>
      <w:tblPr>
        <w:tblpPr w:leftFromText="141" w:rightFromText="141" w:vertAnchor="page" w:horzAnchor="margin" w:tblpXSpec="center" w:tblpY="4666"/>
        <w:tblW w:w="100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69"/>
        <w:gridCol w:w="709"/>
        <w:gridCol w:w="709"/>
        <w:gridCol w:w="1701"/>
      </w:tblGrid>
      <w:tr w:rsidR="00C97EDB" w:rsidRPr="008A65BF" w:rsidTr="00D34285">
        <w:trPr>
          <w:trHeight w:val="402"/>
        </w:trPr>
        <w:tc>
          <w:tcPr>
            <w:tcW w:w="69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DB" w:rsidRPr="008A65BF" w:rsidRDefault="00C97EDB" w:rsidP="00D34285">
            <w:pPr>
              <w:ind w:left="164" w:right="-3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97EDB" w:rsidRPr="008A65BF" w:rsidRDefault="00C97EDB" w:rsidP="00D34285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5BF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C97EDB" w:rsidRPr="008A65BF" w:rsidRDefault="00C97EDB" w:rsidP="00D34285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5BF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97EDB" w:rsidRPr="008A65BF" w:rsidRDefault="00C97EDB" w:rsidP="00D3428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7EDB" w:rsidRPr="008A65BF" w:rsidRDefault="00C97EDB" w:rsidP="00D34285">
            <w:pPr>
              <w:jc w:val="center"/>
              <w:rPr>
                <w:rFonts w:ascii="Arial" w:hAnsi="Arial" w:cs="Arial"/>
                <w:b/>
                <w:bCs/>
              </w:rPr>
            </w:pPr>
            <w:r w:rsidRPr="008A65BF"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C97EDB" w:rsidRPr="00BD7558" w:rsidTr="00D34285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97EDB" w:rsidRPr="00D6679A" w:rsidRDefault="00C97EDB" w:rsidP="00D34285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Lors des évènements de mai 68 en </w:t>
            </w:r>
            <w:r w:rsidR="003E62DF">
              <w:rPr>
                <w:rFonts w:ascii="Arial" w:hAnsi="Arial" w:cs="Arial"/>
                <w:sz w:val="20"/>
                <w:szCs w:val="20"/>
              </w:rPr>
              <w:t xml:space="preserve">France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le Président de la République en exercice était Georges Pompidou</w:t>
            </w:r>
          </w:p>
          <w:p w:rsidR="00C97EDB" w:rsidRPr="00FE4474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color w:val="808080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DB" w:rsidRPr="00BD7558" w:rsidRDefault="00C97EDB" w:rsidP="00D34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EDB" w:rsidRPr="00BD7558" w:rsidTr="00D34285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97EDB" w:rsidRPr="00D6679A" w:rsidRDefault="00C97EDB" w:rsidP="00D34285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accords signés fin mai 68 </w:t>
            </w:r>
          </w:p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sont connus sous le nom </w:t>
            </w:r>
            <w:r w:rsidR="003E62DF">
              <w:rPr>
                <w:rFonts w:ascii="Arial" w:hAnsi="Arial" w:cs="Arial"/>
                <w:sz w:val="20"/>
                <w:szCs w:val="20"/>
              </w:rPr>
              <w:t>« </w:t>
            </w:r>
            <w:r>
              <w:rPr>
                <w:rFonts w:ascii="Arial" w:hAnsi="Arial" w:cs="Arial"/>
                <w:sz w:val="20"/>
                <w:szCs w:val="20"/>
              </w:rPr>
              <w:t>d’accords Matignon</w:t>
            </w:r>
            <w:r w:rsidR="003E62DF">
              <w:rPr>
                <w:rFonts w:ascii="Arial" w:hAnsi="Arial" w:cs="Arial"/>
                <w:sz w:val="20"/>
                <w:szCs w:val="20"/>
              </w:rPr>
              <w:t> »</w:t>
            </w:r>
          </w:p>
          <w:p w:rsidR="00C97EDB" w:rsidRPr="004F37EA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DB" w:rsidRPr="00BD7558" w:rsidRDefault="00C97EDB" w:rsidP="00D34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EDB" w:rsidRPr="00BD7558" w:rsidTr="00D34285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97EDB" w:rsidRPr="00D6679A" w:rsidRDefault="00C97EDB" w:rsidP="00D34285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l’issue du conflit de mai 1968 le salaire minimum en France                       a été augmenté de 35%</w:t>
            </w:r>
          </w:p>
          <w:p w:rsidR="00C97EDB" w:rsidRPr="00FE4474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DB" w:rsidRPr="00BD7558" w:rsidRDefault="00C97EDB" w:rsidP="00D342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97EDB" w:rsidRPr="00BD7558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97EDB" w:rsidRPr="00D6679A" w:rsidRDefault="00C97EDB" w:rsidP="00D34285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EDB" w:rsidRPr="00FE4474" w:rsidRDefault="00C97EDB" w:rsidP="003E62DF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 médecin du travail qui constate une inaptitude au travail </w:t>
            </w:r>
            <w:r w:rsidR="003E62DF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lors d’une visite médicale d’un salarié </w:t>
            </w:r>
            <w:r w:rsidR="003E62D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peut délivrer </w:t>
            </w:r>
            <w:r w:rsidR="003E62DF">
              <w:rPr>
                <w:rFonts w:ascii="Arial" w:hAnsi="Arial" w:cs="Arial"/>
                <w:sz w:val="20"/>
                <w:szCs w:val="20"/>
              </w:rPr>
              <w:t xml:space="preserve">à ce dernier </w:t>
            </w:r>
            <w:r>
              <w:rPr>
                <w:rFonts w:ascii="Arial" w:hAnsi="Arial" w:cs="Arial"/>
                <w:sz w:val="20"/>
                <w:szCs w:val="20"/>
              </w:rPr>
              <w:t xml:space="preserve">un arrêt de travail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DB" w:rsidRPr="00BD7558" w:rsidRDefault="00C97EDB" w:rsidP="00D342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97EDB" w:rsidRPr="00BD7558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97EDB" w:rsidRPr="00D6679A" w:rsidRDefault="00C97EDB" w:rsidP="00D34285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L’organisation de la médecine du travail se divise en 2 catégories : les services autonomes et les services interentreprises</w:t>
            </w:r>
          </w:p>
          <w:p w:rsidR="00C97EDB" w:rsidRPr="00FE4474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DB" w:rsidRPr="00BD7558" w:rsidRDefault="00C97EDB" w:rsidP="00D342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97EDB" w:rsidRPr="00BD7558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97EDB" w:rsidRPr="00D6679A" w:rsidRDefault="00C97EDB" w:rsidP="00D34285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EDB" w:rsidRPr="00FE4474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dehors des visites médicales, le médecin du travail</w:t>
            </w:r>
            <w:r w:rsidR="004E4F6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doit consacrer au moins la moitié de son temps de travail                                         à des missions sur le lieu de travail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DB" w:rsidRPr="00BD7558" w:rsidRDefault="00C97EDB" w:rsidP="00D342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97EDB" w:rsidRPr="00BD7558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97EDB" w:rsidRPr="00D6679A" w:rsidRDefault="00C97EDB" w:rsidP="00D34285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sigle SMR</w:t>
            </w:r>
          </w:p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signifie « Service Médical Renforcé »</w:t>
            </w:r>
          </w:p>
          <w:p w:rsidR="00C97EDB" w:rsidRPr="00FE4474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DB" w:rsidRPr="00BD7558" w:rsidRDefault="00C97EDB" w:rsidP="00D342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97EDB" w:rsidRPr="00BD7558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97EDB" w:rsidRPr="00D6679A" w:rsidRDefault="00C97EDB" w:rsidP="00D34285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4E4F6F">
              <w:rPr>
                <w:rFonts w:ascii="Arial" w:hAnsi="Arial" w:cs="Arial"/>
                <w:sz w:val="20"/>
                <w:szCs w:val="20"/>
              </w:rPr>
              <w:t xml:space="preserve">sigle </w:t>
            </w:r>
            <w:r>
              <w:rPr>
                <w:rFonts w:ascii="Arial" w:hAnsi="Arial" w:cs="Arial"/>
                <w:sz w:val="20"/>
                <w:szCs w:val="20"/>
              </w:rPr>
              <w:t>CIVI désigne le « Centre d’Information sur le Volontariat International » chargé de la promotion du VIE</w:t>
            </w:r>
          </w:p>
          <w:p w:rsidR="00C97EDB" w:rsidRPr="00FE4474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DB" w:rsidRPr="00BD7558" w:rsidRDefault="00C97EDB" w:rsidP="00D342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97EDB" w:rsidRPr="00761483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97EDB" w:rsidRPr="00D6679A" w:rsidRDefault="00C97EDB" w:rsidP="00D34285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EDB" w:rsidRPr="00FE4474" w:rsidRDefault="00C97EDB" w:rsidP="004E4F6F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personnes en VIE ont les mêmes droits à congés payés                      que ceux prévus par la loi pour les salariés en France                      soit 2.5 jours de congés par mois de travail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DB" w:rsidRPr="00761483" w:rsidRDefault="00C97EDB" w:rsidP="00D342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97EDB" w:rsidRPr="007B2B01" w:rsidTr="00D34285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97EDB" w:rsidRPr="00D6679A" w:rsidRDefault="00C97EDB" w:rsidP="00D34285">
            <w:pPr>
              <w:ind w:left="164" w:right="-3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679A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7EDB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totalité des indemnités perçues dans le cadre d’un VIE                           est dans tous les cas totalement exonérée d’impôt sur le revenu</w:t>
            </w:r>
          </w:p>
          <w:p w:rsidR="00C97EDB" w:rsidRPr="004F37EA" w:rsidRDefault="00C97EDB" w:rsidP="00D34285">
            <w:pPr>
              <w:ind w:left="164" w:right="-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EDB" w:rsidRPr="00D332DB" w:rsidRDefault="00C97EDB" w:rsidP="00D3428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7EDB" w:rsidRPr="007B2B01" w:rsidRDefault="00C97EDB" w:rsidP="00D342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97EDB" w:rsidRDefault="00C97EDB" w:rsidP="00C97EDB"/>
    <w:p w:rsidR="002A42BC" w:rsidRDefault="002A42BC" w:rsidP="002A42BC"/>
    <w:sectPr w:rsidR="002A42BC" w:rsidSect="00CC1318">
      <w:headerReference w:type="default" r:id="rId7"/>
      <w:footerReference w:type="default" r:id="rId8"/>
      <w:pgSz w:w="11906" w:h="16838"/>
      <w:pgMar w:top="2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65" w:rsidRDefault="008C6565" w:rsidP="002A42BC">
      <w:r>
        <w:separator/>
      </w:r>
    </w:p>
  </w:endnote>
  <w:endnote w:type="continuationSeparator" w:id="0">
    <w:p w:rsidR="008C6565" w:rsidRDefault="008C6565" w:rsidP="002A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DF" w:rsidRPr="002A42BC" w:rsidRDefault="003E62DF">
    <w:pPr>
      <w:pStyle w:val="Pieddepage"/>
      <w:rPr>
        <w:sz w:val="20"/>
        <w:szCs w:val="20"/>
      </w:rPr>
    </w:pPr>
    <w:r w:rsidRPr="002A42BC">
      <w:rPr>
        <w:sz w:val="20"/>
        <w:szCs w:val="20"/>
      </w:rPr>
      <w:t>Pierre GUENEBAUT</w:t>
    </w:r>
  </w:p>
  <w:p w:rsidR="003E62DF" w:rsidRPr="002A42BC" w:rsidRDefault="003E62DF">
    <w:pPr>
      <w:pStyle w:val="Pieddepage"/>
      <w:rPr>
        <w:sz w:val="20"/>
        <w:szCs w:val="20"/>
      </w:rPr>
    </w:pPr>
    <w:r w:rsidRPr="002A42BC">
      <w:rPr>
        <w:sz w:val="20"/>
        <w:szCs w:val="20"/>
      </w:rPr>
      <w:t>P2016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65" w:rsidRDefault="008C6565" w:rsidP="002A42BC">
      <w:r>
        <w:separator/>
      </w:r>
    </w:p>
  </w:footnote>
  <w:footnote w:type="continuationSeparator" w:id="0">
    <w:p w:rsidR="008C6565" w:rsidRDefault="008C6565" w:rsidP="002A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DF" w:rsidRDefault="003E62DF">
    <w:pPr>
      <w:pStyle w:val="En-tte"/>
      <w:rPr>
        <w:b/>
      </w:rPr>
    </w:pPr>
    <w:r w:rsidRPr="002A42BC">
      <w:rPr>
        <w:b/>
      </w:rPr>
      <w:t xml:space="preserve">UTBM </w:t>
    </w:r>
    <w:r>
      <w:rPr>
        <w:b/>
      </w:rPr>
      <w:t xml:space="preserve">                                                                                                                           </w:t>
    </w:r>
    <w:r w:rsidRPr="002A42BC">
      <w:rPr>
        <w:b/>
      </w:rPr>
      <w:t xml:space="preserve">GE03 </w:t>
    </w:r>
  </w:p>
  <w:p w:rsidR="003E62DF" w:rsidRDefault="003E62DF">
    <w:pPr>
      <w:pStyle w:val="En-tte"/>
    </w:pPr>
  </w:p>
  <w:p w:rsidR="003E62DF" w:rsidRDefault="003E62DF">
    <w:pPr>
      <w:pStyle w:val="En-tte"/>
    </w:pPr>
    <w:r w:rsidRPr="002A42BC">
      <w:t>Nom :                                        Prénom :                                 Signature</w:t>
    </w:r>
  </w:p>
  <w:p w:rsidR="00DB7630" w:rsidRPr="00DB7630" w:rsidRDefault="00DB7630" w:rsidP="00DB7630">
    <w:pPr>
      <w:pStyle w:val="En-tte"/>
      <w:jc w:val="center"/>
      <w:rPr>
        <w:b/>
        <w:color w:val="FF0000"/>
      </w:rPr>
    </w:pPr>
    <w:r w:rsidRPr="00DB7630">
      <w:rPr>
        <w:b/>
        <w:color w:val="FF0000"/>
      </w:rPr>
      <w:t>GE</w:t>
    </w:r>
    <w:r>
      <w:rPr>
        <w:b/>
        <w:color w:val="FF0000"/>
      </w:rPr>
      <w:t>03-2016P-MS01-02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81149"/>
    <w:multiLevelType w:val="hybridMultilevel"/>
    <w:tmpl w:val="A73412D8"/>
    <w:lvl w:ilvl="0" w:tplc="040C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BC"/>
    <w:rsid w:val="000E0499"/>
    <w:rsid w:val="00216AD5"/>
    <w:rsid w:val="00281579"/>
    <w:rsid w:val="002A42BC"/>
    <w:rsid w:val="003E62DF"/>
    <w:rsid w:val="004A6CDC"/>
    <w:rsid w:val="004E4F6F"/>
    <w:rsid w:val="006A7F8C"/>
    <w:rsid w:val="008C6565"/>
    <w:rsid w:val="00C97EDB"/>
    <w:rsid w:val="00CC1318"/>
    <w:rsid w:val="00D34285"/>
    <w:rsid w:val="00D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34BD4-8904-48EC-9204-2FE64D01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2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42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42B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42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42B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42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28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804742E2</Template>
  <TotalTime>0</TotalTime>
  <Pages>5</Pages>
  <Words>650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Corinne Mechinaud</cp:lastModifiedBy>
  <cp:revision>2</cp:revision>
  <cp:lastPrinted>2016-04-26T13:13:00Z</cp:lastPrinted>
  <dcterms:created xsi:type="dcterms:W3CDTF">2016-09-19T10:24:00Z</dcterms:created>
  <dcterms:modified xsi:type="dcterms:W3CDTF">2016-09-19T10:24:00Z</dcterms:modified>
</cp:coreProperties>
</file>