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A9" w:rsidRDefault="00BD1A29">
      <w:pPr>
        <w:jc w:val="center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R. HERBACH                               </w:t>
      </w:r>
      <w:r>
        <w:rPr>
          <w:b/>
          <w:bCs/>
          <w:lang w:val="en-GB"/>
        </w:rPr>
        <w:t>MQ51 EXAMEN FINAL</w:t>
      </w:r>
      <w:r>
        <w:rPr>
          <w:lang w:val="en-GB"/>
        </w:rPr>
        <w:t xml:space="preserve">                               </w:t>
      </w:r>
      <w:r w:rsidR="00DD18C7">
        <w:rPr>
          <w:lang w:val="en-GB"/>
        </w:rPr>
        <w:t>le 11.01.2016</w:t>
      </w:r>
    </w:p>
    <w:p w:rsidR="00417BA9" w:rsidRDefault="00BD1A29">
      <w:pPr>
        <w:rPr>
          <w:i/>
          <w:iCs/>
        </w:rPr>
      </w:pPr>
      <w:r>
        <w:t xml:space="preserve">Th. VIOLLET              </w:t>
      </w:r>
      <w:r>
        <w:rPr>
          <w:i/>
          <w:iCs/>
        </w:rPr>
        <w:t>Durée 2 heures, notes de cours et TD autorisées</w:t>
      </w:r>
    </w:p>
    <w:p w:rsidR="00A14E5F" w:rsidRPr="00A14E5F" w:rsidRDefault="00A14E5F" w:rsidP="00A14E5F">
      <w:pPr>
        <w:jc w:val="center"/>
        <w:rPr>
          <w:iCs/>
        </w:rPr>
      </w:pPr>
    </w:p>
    <w:p w:rsidR="001D1F7D" w:rsidRDefault="001D1F7D">
      <w:pPr>
        <w:jc w:val="both"/>
        <w:rPr>
          <w:b/>
          <w:bCs/>
        </w:rPr>
      </w:pPr>
    </w:p>
    <w:p w:rsidR="00F7479C" w:rsidRPr="00DD18C7" w:rsidRDefault="00B11569">
      <w:pPr>
        <w:jc w:val="both"/>
        <w:rPr>
          <w:b/>
          <w:bCs/>
        </w:rPr>
      </w:pPr>
      <w:r>
        <w:rPr>
          <w:b/>
          <w:bCs/>
        </w:rPr>
        <w:t>A</w:t>
      </w:r>
      <w:r w:rsidR="00035AE8">
        <w:rPr>
          <w:b/>
          <w:bCs/>
        </w:rPr>
        <w:t xml:space="preserve"> : </w:t>
      </w:r>
      <w:r w:rsidR="00F7479C">
        <w:rPr>
          <w:b/>
        </w:rPr>
        <w:t>contraintes en pointe de fissure en mode I</w:t>
      </w:r>
      <w:r w:rsidR="00A14E5F">
        <w:rPr>
          <w:b/>
        </w:rPr>
        <w:t xml:space="preserve"> </w:t>
      </w:r>
      <w:r w:rsidR="0042031B">
        <w:t xml:space="preserve">(sur </w:t>
      </w:r>
      <w:r w:rsidR="00B07774">
        <w:t>10</w:t>
      </w:r>
      <w:r w:rsidR="002761B6">
        <w:t xml:space="preserve"> </w:t>
      </w:r>
      <w:r w:rsidR="00A14E5F">
        <w:t>points)</w:t>
      </w:r>
      <w:r w:rsidR="00F7479C">
        <w:rPr>
          <w:b/>
        </w:rPr>
        <w:t>.</w:t>
      </w:r>
    </w:p>
    <w:p w:rsidR="00A14E5F" w:rsidRDefault="00F7479C" w:rsidP="00A14E5F">
      <w:pPr>
        <w:jc w:val="both"/>
        <w:rPr>
          <w:szCs w:val="20"/>
        </w:rPr>
      </w:pPr>
      <w:r>
        <w:t>On étudie la répartition des contraintes en</w:t>
      </w:r>
      <w:r w:rsidR="005E06E9">
        <w:t xml:space="preserve"> pointe de fissure en déformation</w:t>
      </w:r>
      <w:r>
        <w:t xml:space="preserve">s planes </w:t>
      </w:r>
      <w:r w:rsidR="00A14E5F">
        <w:t xml:space="preserve">(DP) </w:t>
      </w:r>
      <w:r w:rsidR="002761B6">
        <w:t>et mode I :</w:t>
      </w:r>
    </w:p>
    <w:p w:rsidR="007F2C11" w:rsidRPr="007F2C11" w:rsidRDefault="00870FBC" w:rsidP="007F2C11">
      <w:pPr>
        <w:jc w:val="center"/>
      </w:pPr>
      <m:oMathPara>
        <m:oMath>
          <m:acc>
            <m:accPr>
              <m:chr m:val="̃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rr</m:t>
                  </m:r>
                </m:sub>
              </m:sSub>
            </m:e>
          </m:acc>
          <m:r>
            <w:rPr>
              <w:rFonts w:ascii="Cambria Math" w:hAnsi="Cambria Math"/>
            </w:rPr>
            <m:t>=cos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θ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θ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</m:oMath>
      </m:oMathPara>
    </w:p>
    <w:p w:rsidR="007F2C11" w:rsidRPr="0042031B" w:rsidRDefault="00870FBC" w:rsidP="007F2C11">
      <w:pPr>
        <w:jc w:val="center"/>
      </w:pPr>
      <m:oMathPara>
        <m:oMath>
          <m:acc>
            <m:accPr>
              <m:chr m:val="̃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θθ</m:t>
                  </m:r>
                </m:sub>
              </m:sSub>
            </m:e>
          </m:acc>
          <m: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θ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42031B" w:rsidRPr="0042031B" w:rsidRDefault="00870FBC" w:rsidP="007F2C11">
      <w:pPr>
        <w:jc w:val="center"/>
      </w:pPr>
      <m:oMathPara>
        <m:oMath>
          <m:acc>
            <m:accPr>
              <m:chr m:val="̃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rθ</m:t>
                  </m:r>
                </m:sub>
              </m:sSub>
            </m:e>
          </m:acc>
          <m:r>
            <w:rPr>
              <w:rFonts w:ascii="Cambria Math" w:hAnsi="Cambria Math"/>
            </w:rPr>
            <m:t>=sin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θ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θ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42031B" w:rsidRPr="00B16CFB" w:rsidRDefault="00870FBC" w:rsidP="007F2C11">
      <w:pPr>
        <w:jc w:val="center"/>
      </w:pPr>
      <m:oMathPara>
        <m:oMath>
          <m:acc>
            <m:accPr>
              <m:chr m:val="̃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zz</m:t>
                  </m:r>
                </m:sub>
              </m:sSub>
            </m:e>
          </m:acc>
          <m:r>
            <w:rPr>
              <w:rFonts w:ascii="Cambria Math" w:hAnsi="Cambria Math"/>
            </w:rPr>
            <m:t>= ν(</m:t>
          </m:r>
          <m:acc>
            <m:accPr>
              <m:chr m:val="̃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rr</m:t>
                  </m:r>
                </m:sub>
              </m:sSub>
            </m:e>
          </m:acc>
          <m:r>
            <w:rPr>
              <w:rFonts w:ascii="Cambria Math" w:hAnsi="Cambria Math"/>
            </w:rPr>
            <m:t>+</m:t>
          </m:r>
          <m:acc>
            <m:accPr>
              <m:chr m:val="̃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θθ</m:t>
                  </m:r>
                </m:sub>
              </m:sSub>
            </m:e>
          </m:acc>
          <m:r>
            <w:rPr>
              <w:rFonts w:ascii="Cambria Math" w:hAnsi="Cambria Math"/>
            </w:rPr>
            <m:t>)</m:t>
          </m:r>
        </m:oMath>
      </m:oMathPara>
    </w:p>
    <w:p w:rsidR="002A23A7" w:rsidRDefault="00DD18C7" w:rsidP="00A14E5F">
      <w:pPr>
        <w:jc w:val="both"/>
        <w:rPr>
          <w:szCs w:val="20"/>
        </w:rPr>
      </w:pPr>
      <w:r>
        <w:rPr>
          <w:b/>
          <w:szCs w:val="20"/>
        </w:rPr>
        <w:t>A</w:t>
      </w:r>
      <w:r w:rsidR="0042031B">
        <w:rPr>
          <w:b/>
          <w:szCs w:val="20"/>
        </w:rPr>
        <w:t>1</w:t>
      </w:r>
      <w:r w:rsidR="00B16CFB">
        <w:rPr>
          <w:b/>
          <w:szCs w:val="20"/>
        </w:rPr>
        <w:t xml:space="preserve">) </w:t>
      </w:r>
      <w:r w:rsidR="00140984" w:rsidRPr="00832958">
        <w:rPr>
          <w:szCs w:val="20"/>
        </w:rPr>
        <w:t>D’après le calcul des contraintes adimensi</w:t>
      </w:r>
      <w:r w:rsidR="00140984">
        <w:rPr>
          <w:szCs w:val="20"/>
        </w:rPr>
        <w:t>onnelles</w:t>
      </w:r>
      <w:r w:rsidR="00140984" w:rsidRPr="00832958">
        <w:rPr>
          <w:szCs w:val="20"/>
        </w:rPr>
        <w:t xml:space="preserve"> pour</w:t>
      </w:r>
      <w:r w:rsidR="00140984" w:rsidRPr="0083295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θ=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140984">
        <w:rPr>
          <w:szCs w:val="20"/>
        </w:rPr>
        <w:t xml:space="preserve"> </w:t>
      </w:r>
      <w:r w:rsidR="00140984" w:rsidRPr="00832958">
        <w:rPr>
          <w:szCs w:val="20"/>
        </w:rPr>
        <w:t>et pour</w:t>
      </w:r>
      <w:r w:rsidR="00140984">
        <w:rPr>
          <w:szCs w:val="20"/>
        </w:rPr>
        <w:t xml:space="preserve"> </w:t>
      </w:r>
      <m:oMath>
        <m:r>
          <w:rPr>
            <w:rFonts w:ascii="Cambria Math" w:hAnsi="Cambria Math"/>
            <w:szCs w:val="20"/>
          </w:rPr>
          <m:t>ν= 0,33</m:t>
        </m:r>
      </m:oMath>
      <w:r w:rsidR="00140984">
        <w:rPr>
          <w:szCs w:val="20"/>
        </w:rPr>
        <w:t xml:space="preserve"> c</w:t>
      </w:r>
      <w:r w:rsidR="0042031B">
        <w:rPr>
          <w:szCs w:val="20"/>
        </w:rPr>
        <w:t xml:space="preserve">alculer </w:t>
      </w:r>
      <w:r w:rsidR="00832958" w:rsidRPr="00832958">
        <w:rPr>
          <w:szCs w:val="20"/>
        </w:rPr>
        <w:t xml:space="preserve">les contraintes principales adimensionnelles </w:t>
      </w:r>
      <w:r w:rsidR="0042031B">
        <w:rPr>
          <w:szCs w:val="20"/>
        </w:rPr>
        <w:t xml:space="preserve">en les organisant : </w:t>
      </w:r>
      <m:oMath>
        <m:acc>
          <m:accPr>
            <m:chr m:val="̃"/>
            <m:ctrlPr>
              <w:rPr>
                <w:rFonts w:ascii="Cambria Math" w:hAnsi="Cambria Math"/>
                <w:i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Cs w:val="20"/>
                  </w:rPr>
                  <m:t>I</m:t>
                </m:r>
              </m:sub>
            </m:sSub>
          </m:e>
        </m:acc>
        <m:r>
          <w:rPr>
            <w:rFonts w:ascii="Cambria Math" w:hAnsi="Cambria Math"/>
            <w:szCs w:val="20"/>
          </w:rPr>
          <m:t>≥</m:t>
        </m:r>
        <m:acc>
          <m:accPr>
            <m:chr m:val="̃"/>
            <m:ctrlPr>
              <w:rPr>
                <w:rFonts w:ascii="Cambria Math" w:hAnsi="Cambria Math"/>
                <w:i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Cs w:val="20"/>
                  </w:rPr>
                  <m:t>II</m:t>
                </m:r>
              </m:sub>
            </m:sSub>
          </m:e>
        </m:acc>
        <m:r>
          <w:rPr>
            <w:rFonts w:ascii="Cambria Math" w:hAnsi="Cambria Math"/>
            <w:szCs w:val="20"/>
          </w:rPr>
          <m:t>≥</m:t>
        </m:r>
        <m:acc>
          <m:accPr>
            <m:chr m:val="̃"/>
            <m:ctrlPr>
              <w:rPr>
                <w:rFonts w:ascii="Cambria Math" w:hAnsi="Cambria Math"/>
                <w:i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Cs w:val="20"/>
                  </w:rPr>
                  <m:t>III</m:t>
                </m:r>
              </m:sub>
            </m:sSub>
          </m:e>
        </m:acc>
      </m:oMath>
      <w:r w:rsidR="00140984">
        <w:rPr>
          <w:szCs w:val="20"/>
        </w:rPr>
        <w:t xml:space="preserve"> et d</w:t>
      </w:r>
      <w:r w:rsidR="00832958" w:rsidRPr="00832958">
        <w:rPr>
          <w:szCs w:val="20"/>
        </w:rPr>
        <w:t xml:space="preserve">onner l’orientation </w:t>
      </w:r>
      <w:r w:rsidR="00832958" w:rsidRPr="00832958">
        <w:rPr>
          <w:szCs w:val="20"/>
        </w:rPr>
        <w:sym w:font="Symbol" w:char="F061"/>
      </w:r>
      <w:r w:rsidR="00832958" w:rsidRPr="00832958">
        <w:rPr>
          <w:szCs w:val="20"/>
        </w:rPr>
        <w:t xml:space="preserve"> d’une direction principale par rapport à 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Cs w:val="20"/>
                  </w:rPr>
                </m:ctrlPr>
              </m:barPr>
              <m:e>
                <m:r>
                  <w:rPr>
                    <w:rFonts w:ascii="Cambria Math" w:hAnsi="Cambria Math"/>
                    <w:szCs w:val="20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Cs w:val="20"/>
              </w:rPr>
              <m:t>r</m:t>
            </m:r>
          </m:sub>
        </m:sSub>
      </m:oMath>
      <w:r w:rsidR="002A23A7">
        <w:rPr>
          <w:szCs w:val="20"/>
        </w:rPr>
        <w:t xml:space="preserve"> .</w:t>
      </w:r>
    </w:p>
    <w:p w:rsidR="00DD18C7" w:rsidRDefault="00DD18C7" w:rsidP="00F77E34">
      <w:pPr>
        <w:jc w:val="both"/>
        <w:rPr>
          <w:szCs w:val="20"/>
        </w:rPr>
      </w:pPr>
    </w:p>
    <w:p w:rsidR="00DD18C7" w:rsidRDefault="00DD18C7" w:rsidP="00DD18C7">
      <w:pPr>
        <w:rPr>
          <w:b/>
          <w:bCs/>
        </w:rPr>
      </w:pPr>
      <w:r>
        <w:rPr>
          <w:b/>
          <w:bCs/>
        </w:rPr>
        <w:t xml:space="preserve">B : seuils de plasticité en première déformation </w:t>
      </w:r>
      <w:r w:rsidR="00B07774">
        <w:rPr>
          <w:bCs/>
        </w:rPr>
        <w:t>(sur 4</w:t>
      </w:r>
      <w:r>
        <w:rPr>
          <w:bCs/>
        </w:rPr>
        <w:t xml:space="preserve"> points)</w:t>
      </w:r>
      <w:r>
        <w:rPr>
          <w:b/>
          <w:bCs/>
        </w:rPr>
        <w:t>.</w:t>
      </w:r>
    </w:p>
    <w:p w:rsidR="00DD18C7" w:rsidRDefault="00DD18C7" w:rsidP="00DD18C7">
      <w:r>
        <w:t xml:space="preserve">Un matériau homogène isotrope de limite d’élasticité </w:t>
      </w:r>
      <w:r>
        <w:rPr>
          <w:i/>
          <w:iCs/>
        </w:rPr>
        <w:t>k</w:t>
      </w:r>
      <w:r>
        <w:t xml:space="preserve"> en traction simple est soumis à une bi-traction : </w:t>
      </w:r>
      <w:r>
        <w:rPr>
          <w:lang w:val="el-GR"/>
        </w:rPr>
        <w:t>σ</w:t>
      </w:r>
      <w:r>
        <w:rPr>
          <w:vertAlign w:val="subscript"/>
        </w:rPr>
        <w:t>I</w:t>
      </w:r>
      <w:r>
        <w:t xml:space="preserve"> = 2</w:t>
      </w:r>
      <w:r>
        <w:rPr>
          <w:lang w:val="el-GR"/>
        </w:rPr>
        <w:t xml:space="preserve"> σ</w:t>
      </w:r>
      <w:r>
        <w:rPr>
          <w:vertAlign w:val="subscript"/>
        </w:rPr>
        <w:t>II</w:t>
      </w:r>
      <w:r>
        <w:t xml:space="preserve"> et </w:t>
      </w:r>
      <w:r>
        <w:rPr>
          <w:lang w:val="el-GR"/>
        </w:rPr>
        <w:t>σ</w:t>
      </w:r>
      <w:r>
        <w:rPr>
          <w:vertAlign w:val="subscript"/>
        </w:rPr>
        <w:t>III</w:t>
      </w:r>
      <w:r>
        <w:t xml:space="preserve"> = 0 dans les axes principaux.</w:t>
      </w:r>
    </w:p>
    <w:p w:rsidR="00DD18C7" w:rsidRDefault="00DD18C7" w:rsidP="00DD18C7">
      <w:r>
        <w:rPr>
          <w:b/>
        </w:rPr>
        <w:t>B1)</w:t>
      </w:r>
      <w:r>
        <w:t xml:space="preserve"> Donner </w:t>
      </w:r>
      <w:r>
        <w:rPr>
          <w:lang w:val="el-GR"/>
        </w:rPr>
        <w:t>σ</w:t>
      </w:r>
      <w:r>
        <w:rPr>
          <w:vertAlign w:val="subscript"/>
        </w:rPr>
        <w:t>I</w:t>
      </w:r>
      <w:r>
        <w:t xml:space="preserve"> en fonction de </w:t>
      </w:r>
      <w:r>
        <w:rPr>
          <w:i/>
          <w:iCs/>
        </w:rPr>
        <w:t>k</w:t>
      </w:r>
      <w:r>
        <w:t xml:space="preserve"> au seuil de plasticité en première déformation si le matériau suit le critère de Von Misès (f = 0).</w:t>
      </w:r>
    </w:p>
    <w:p w:rsidR="00DD18C7" w:rsidRDefault="00DD18C7" w:rsidP="00DD18C7">
      <w:r>
        <w:rPr>
          <w:b/>
        </w:rPr>
        <w:t>B2)</w:t>
      </w:r>
      <w:r>
        <w:t xml:space="preserve"> Même question si le matériau suit le critère de Tresca.</w:t>
      </w:r>
    </w:p>
    <w:p w:rsidR="00E23FEE" w:rsidRDefault="00E23FEE" w:rsidP="00DD18C7"/>
    <w:p w:rsidR="00E23FEE" w:rsidRPr="00E23FEE" w:rsidRDefault="00E23FEE" w:rsidP="00DD18C7">
      <w:r>
        <w:rPr>
          <w:b/>
        </w:rPr>
        <w:t xml:space="preserve">C : calcul de l’épaisseur d’une tuyauterie sous pression cyclique </w:t>
      </w:r>
      <w:r w:rsidR="00B07774">
        <w:t>(sur 6</w:t>
      </w:r>
      <w:r>
        <w:t xml:space="preserve"> points)</w:t>
      </w:r>
      <w:r>
        <w:rPr>
          <w:b/>
        </w:rPr>
        <w:t>.</w:t>
      </w:r>
    </w:p>
    <w:p w:rsidR="00CF482E" w:rsidRPr="00934990" w:rsidRDefault="00CF482E" w:rsidP="00CF482E">
      <w:pPr>
        <w:jc w:val="both"/>
      </w:pPr>
      <w:r>
        <w:t xml:space="preserve">On considère une tuyauterie sous pression dont les parties rectilignes cylindriques ont un rayon </w:t>
      </w:r>
      <w:r>
        <w:rPr>
          <w:iCs/>
        </w:rPr>
        <w:t>R = 15cm.</w:t>
      </w:r>
      <w:r>
        <w:t xml:space="preserve"> Cette tuyauterie est soumise à des variations cycliques de pression effective </w:t>
      </w:r>
      <w:r>
        <w:rPr>
          <w:iCs/>
        </w:rPr>
        <w:t>p</w:t>
      </w:r>
      <w:r>
        <w:t xml:space="preserve"> entre </w:t>
      </w:r>
      <w:r>
        <w:rPr>
          <w:iCs/>
        </w:rPr>
        <w:t xml:space="preserve">0 </w:t>
      </w:r>
      <w:r>
        <w:t xml:space="preserve">et </w:t>
      </w:r>
      <w:r w:rsidR="001D1F7D">
        <w:rPr>
          <w:iCs/>
        </w:rPr>
        <w:t>6</w:t>
      </w:r>
      <w:r w:rsidRPr="0006416C">
        <w:rPr>
          <w:iCs/>
        </w:rPr>
        <w:t>0 b</w:t>
      </w:r>
      <w:r>
        <w:rPr>
          <w:iCs/>
        </w:rPr>
        <w:t>ar</w:t>
      </w:r>
      <w:r w:rsidR="00C81C28">
        <w:t xml:space="preserve"> </w:t>
      </w:r>
      <w:r>
        <w:t xml:space="preserve">(rappel : </w:t>
      </w:r>
      <w:r w:rsidRPr="0006416C">
        <w:rPr>
          <w:iCs/>
        </w:rPr>
        <w:t>1 b</w:t>
      </w:r>
      <w:r>
        <w:rPr>
          <w:iCs/>
        </w:rPr>
        <w:t>ar</w:t>
      </w:r>
      <w:r w:rsidRPr="0006416C">
        <w:rPr>
          <w:iCs/>
        </w:rPr>
        <w:t xml:space="preserve"> = 10</w:t>
      </w:r>
      <w:r w:rsidRPr="0006416C">
        <w:rPr>
          <w:iCs/>
          <w:vertAlign w:val="superscript"/>
        </w:rPr>
        <w:t>5</w:t>
      </w:r>
      <w:r w:rsidRPr="0006416C">
        <w:rPr>
          <w:iCs/>
        </w:rPr>
        <w:t xml:space="preserve"> Pa</w:t>
      </w:r>
      <w:r>
        <w:t>, et pression effective = pression interne – pression atmosphérique). On considère qu’il existe dès la construction des fissures semi-circulaires de plus grande longueur 2a</w:t>
      </w:r>
      <w:r>
        <w:rPr>
          <w:vertAlign w:val="subscript"/>
        </w:rPr>
        <w:t>0</w:t>
      </w:r>
      <w:r>
        <w:t xml:space="preserve"> et de profondeur a</w:t>
      </w:r>
      <w:r>
        <w:rPr>
          <w:vertAlign w:val="subscript"/>
        </w:rPr>
        <w:t>0</w:t>
      </w:r>
      <w:r>
        <w:t xml:space="preserve"> = 0,5mm (voir la figure ci-dessous). On suppose qu’il en existe au moins une dans l’orientation la plus défavorable.</w:t>
      </w:r>
    </w:p>
    <w:p w:rsidR="00C81C28" w:rsidRDefault="00CF482E" w:rsidP="00CF482E">
      <w:pPr>
        <w:jc w:val="both"/>
        <w:rPr>
          <w:bCs/>
        </w:rPr>
      </w:pPr>
      <w:r>
        <w:rPr>
          <w:b/>
          <w:bCs/>
        </w:rPr>
        <w:t xml:space="preserve">C1) </w:t>
      </w:r>
      <w:r w:rsidR="00C81C28">
        <w:rPr>
          <w:bCs/>
        </w:rPr>
        <w:t>A la température de service, l</w:t>
      </w:r>
      <w:r>
        <w:rPr>
          <w:bCs/>
        </w:rPr>
        <w:t>e matériau du tube</w:t>
      </w:r>
      <w:r w:rsidR="00C81C28">
        <w:rPr>
          <w:bCs/>
        </w:rPr>
        <w:t xml:space="preserve"> (35 CD 4)</w:t>
      </w:r>
      <w:r w:rsidR="00655A85">
        <w:rPr>
          <w:bCs/>
        </w:rPr>
        <w:t xml:space="preserve"> suit une</w:t>
      </w:r>
      <w:r w:rsidR="00C81C28">
        <w:rPr>
          <w:bCs/>
        </w:rPr>
        <w:t xml:space="preserve"> loi de Paris :</w:t>
      </w:r>
    </w:p>
    <w:p w:rsidR="00C81C28" w:rsidRPr="00C81C28" w:rsidRDefault="00870FBC" w:rsidP="00C81C28">
      <w:pPr>
        <w:jc w:val="center"/>
        <w:rPr>
          <w:bCs/>
        </w:rPr>
      </w:pPr>
      <m:oMathPara>
        <m:oMath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da</m:t>
              </m:r>
            </m:num>
            <m:den>
              <m:r>
                <w:rPr>
                  <w:rFonts w:ascii="Cambria Math" w:hAnsi="Cambria Math"/>
                </w:rPr>
                <m:t>dN</m:t>
              </m:r>
            </m:den>
          </m:f>
          <m:r>
            <w:rPr>
              <w:rFonts w:ascii="Cambria Math" w:hAnsi="Cambria Math"/>
            </w:rPr>
            <m:t>=5,2.</m:t>
          </m:r>
          <m:sSup>
            <m:sSupPr>
              <m:ctrlPr>
                <w:rPr>
                  <w:rFonts w:ascii="Cambria Math" w:hAnsi="Cambria Math"/>
                  <w:bCs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-12</m:t>
              </m:r>
            </m:sup>
          </m:sSup>
          <m:sSup>
            <m:sSupPr>
              <m:ctrlPr>
                <w:rPr>
                  <w:rFonts w:ascii="Cambria Math" w:hAnsi="Cambria Math"/>
                  <w:bCs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∆K</m:t>
              </m:r>
            </m:e>
            <m:sup>
              <m:r>
                <w:rPr>
                  <w:rFonts w:ascii="Cambria Math" w:hAnsi="Cambria Math"/>
                </w:rPr>
                <m:t>2,9</m:t>
              </m:r>
            </m:sup>
          </m:sSup>
        </m:oMath>
      </m:oMathPara>
    </w:p>
    <w:p w:rsidR="00C81C28" w:rsidRDefault="00C81C28" w:rsidP="00C81C28">
      <w:pPr>
        <w:jc w:val="both"/>
        <w:rPr>
          <w:bCs/>
        </w:rPr>
      </w:pPr>
      <w:r>
        <w:rPr>
          <w:bCs/>
        </w:rPr>
        <w:t xml:space="preserve">avec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da</m:t>
            </m:r>
          </m:num>
          <m:den>
            <m:r>
              <w:rPr>
                <w:rFonts w:ascii="Cambria Math" w:hAnsi="Cambria Math"/>
              </w:rPr>
              <m:t>dN</m:t>
            </m:r>
          </m:den>
        </m:f>
      </m:oMath>
      <w:r>
        <w:rPr>
          <w:bCs/>
        </w:rPr>
        <w:t xml:space="preserve"> en m/cycle et </w:t>
      </w:r>
      <m:oMath>
        <m:r>
          <w:rPr>
            <w:rFonts w:ascii="Cambria Math" w:hAnsi="Cambria Math"/>
          </w:rPr>
          <m:t>∆K=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Imaxi</m:t>
            </m:r>
          </m:sub>
        </m:sSub>
      </m:oMath>
      <w:r w:rsidR="00655A85">
        <w:rPr>
          <w:bCs/>
        </w:rPr>
        <w:t xml:space="preserve"> en </w:t>
      </w:r>
      <m:oMath>
        <m:r>
          <m:rPr>
            <m:nor/>
          </m:rPr>
          <w:rPr>
            <w:rFonts w:ascii="Cambria Math" w:hAnsi="Cambria Math"/>
            <w:bCs/>
          </w:rPr>
          <m:t>MPa</m:t>
        </m:r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m:rPr>
                <m:nor/>
              </m:rPr>
              <w:rPr>
                <w:rFonts w:ascii="Cambria Math" w:hAnsi="Cambria Math"/>
                <w:bCs/>
              </w:rPr>
              <m:t>m</m:t>
            </m:r>
          </m:e>
        </m:rad>
      </m:oMath>
      <w:r>
        <w:rPr>
          <w:bCs/>
        </w:rPr>
        <w:t xml:space="preserve"> </w:t>
      </w:r>
      <w:r w:rsidR="00E318C3">
        <w:rPr>
          <w:bCs/>
        </w:rPr>
        <w:t>,</w:t>
      </w:r>
      <w:r>
        <w:rPr>
          <w:bCs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(K</m:t>
            </m:r>
          </m:e>
          <m:sub>
            <m:r>
              <w:rPr>
                <w:rFonts w:ascii="Cambria Math" w:hAnsi="Cambria Math"/>
              </w:rPr>
              <m:t>Imini</m:t>
            </m:r>
          </m:sub>
        </m:sSub>
        <m:r>
          <w:rPr>
            <w:rFonts w:ascii="Cambria Math" w:hAnsi="Cambria Math"/>
          </w:rPr>
          <m:t>=0)</m:t>
        </m:r>
      </m:oMath>
      <w:r w:rsidR="00E318C3">
        <w:rPr>
          <w:bCs/>
        </w:rPr>
        <w:t>.</w:t>
      </w:r>
    </w:p>
    <w:p w:rsidR="00CF482E" w:rsidRPr="00934990" w:rsidRDefault="00E318C3" w:rsidP="00CF482E">
      <w:pPr>
        <w:jc w:val="both"/>
      </w:pPr>
      <w:r>
        <w:t xml:space="preserve">L’épaisseur </w:t>
      </w:r>
      <w:r w:rsidRPr="00E318C3">
        <w:rPr>
          <w:i/>
        </w:rPr>
        <w:t>e</w:t>
      </w:r>
      <w:r>
        <w:t xml:space="preserve"> du tube,</w:t>
      </w:r>
      <w:r w:rsidR="00CF482E">
        <w:t xml:space="preserve"> de limite élastique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=770 MPa</m:t>
        </m:r>
      </m:oMath>
      <w:r w:rsidR="00CF482E">
        <w:t xml:space="preserve"> et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IC</m:t>
            </m:r>
          </m:sub>
        </m:sSub>
        <m:r>
          <w:rPr>
            <w:rFonts w:ascii="Cambria Math" w:hAnsi="Cambria Math"/>
          </w:rPr>
          <m:t>=25 MPa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m</m:t>
            </m:r>
          </m:e>
        </m:rad>
      </m:oMath>
      <w:r w:rsidR="00CF482E">
        <w:t xml:space="preserve"> est calculée pour qu’il y ait fuite avant rupture. </w:t>
      </w:r>
      <w:r>
        <w:t xml:space="preserve">On rappelle que dans ce cas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=2σ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a</m:t>
            </m:r>
          </m:e>
        </m:rad>
      </m:oMath>
      <w:r>
        <w:t>. Quelle est l’épaisseur limite</w:t>
      </w:r>
      <w:r w:rsidR="00CF482E">
        <w:t xml:space="preserve"> </w:t>
      </w:r>
      <w:r w:rsidR="00CF482E" w:rsidRPr="00E318C3">
        <w:rPr>
          <w:i/>
        </w:rPr>
        <w:t>e</w:t>
      </w:r>
      <w:r w:rsidR="00CF482E" w:rsidRPr="00E318C3">
        <w:rPr>
          <w:i/>
          <w:vertAlign w:val="subscript"/>
        </w:rPr>
        <w:t>1</w:t>
      </w:r>
      <w:r>
        <w:t xml:space="preserve"> qui satisfait à la fois </w:t>
      </w:r>
      <m:oMath>
        <m:r>
          <w:rPr>
            <w:rFonts w:ascii="Cambria Math" w:hAnsi="Cambria Math"/>
          </w:rPr>
          <m:t>σ&lt;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>
        <w:t xml:space="preserve"> 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IC</m:t>
            </m:r>
          </m:sub>
        </m:sSub>
      </m:oMath>
      <w:r>
        <w:t> ?</w:t>
      </w:r>
    </w:p>
    <w:p w:rsidR="00017DB7" w:rsidRDefault="00CF482E" w:rsidP="00CF482E">
      <w:pPr>
        <w:jc w:val="both"/>
      </w:pPr>
      <w:r>
        <w:rPr>
          <w:b/>
          <w:bCs/>
        </w:rPr>
        <w:t>C2)</w:t>
      </w:r>
      <w:r>
        <w:t xml:space="preserve"> On choisit </w:t>
      </w:r>
      <w:r w:rsidRPr="00E318C3">
        <w:rPr>
          <w:i/>
        </w:rPr>
        <w:t>e</w:t>
      </w:r>
      <w:r>
        <w:t xml:space="preserve"> =</w:t>
      </w:r>
      <w:r w:rsidR="001D1F7D">
        <w:t xml:space="preserve"> 6</w:t>
      </w:r>
      <w:r>
        <w:t xml:space="preserve">mm &gt; </w:t>
      </w:r>
      <w:r w:rsidRPr="00E318C3">
        <w:rPr>
          <w:i/>
        </w:rPr>
        <w:t>e</w:t>
      </w:r>
      <w:r w:rsidRPr="00E318C3">
        <w:rPr>
          <w:i/>
          <w:vertAlign w:val="subscript"/>
        </w:rPr>
        <w:t>1</w:t>
      </w:r>
      <w:r>
        <w:t xml:space="preserve">, en déduire </w:t>
      </w:r>
      <w:r w:rsidR="00934990">
        <w:t xml:space="preserve">la durée de vie, en </w:t>
      </w:r>
      <w:r>
        <w:t>nombre de cycles</w:t>
      </w:r>
      <w:r w:rsidR="00934990">
        <w:t>, de cette tuyauterie</w:t>
      </w:r>
      <w:r>
        <w:t>.</w:t>
      </w:r>
    </w:p>
    <w:p w:rsidR="00CF482E" w:rsidRDefault="00CF482E" w:rsidP="00CF482E">
      <w:pPr>
        <w:jc w:val="both"/>
      </w:pPr>
      <w:r>
        <w:t xml:space="preserve"> </w:t>
      </w:r>
    </w:p>
    <w:p w:rsidR="00DD18C7" w:rsidRPr="00F77E34" w:rsidRDefault="00017DB7" w:rsidP="00017DB7">
      <w:pPr>
        <w:jc w:val="center"/>
        <w:rPr>
          <w:szCs w:val="20"/>
        </w:rPr>
      </w:pPr>
      <w:r>
        <w:rPr>
          <w:noProof/>
        </w:rPr>
        <w:drawing>
          <wp:inline distT="0" distB="0" distL="0" distR="0" wp14:anchorId="7DD679A0" wp14:editId="2804EFEE">
            <wp:extent cx="3556000" cy="1150936"/>
            <wp:effectExtent l="0" t="0" r="6350" b="0"/>
            <wp:docPr id="1026" name="Picture 2" descr="finA06MQ51_fig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inA06MQ51_fig1_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735"/>
                    <a:stretch/>
                  </pic:blipFill>
                  <pic:spPr bwMode="auto">
                    <a:xfrm>
                      <a:off x="0" y="0"/>
                      <a:ext cx="3579234" cy="115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DD18C7" w:rsidRPr="00F77E34">
      <w:pgSz w:w="11906" w:h="16838"/>
      <w:pgMar w:top="1418" w:right="1418" w:bottom="1418" w:left="1418" w:header="1134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0184A"/>
    <w:multiLevelType w:val="hybridMultilevel"/>
    <w:tmpl w:val="6D467C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55EB6"/>
    <w:multiLevelType w:val="hybridMultilevel"/>
    <w:tmpl w:val="1DBC3B30"/>
    <w:lvl w:ilvl="0" w:tplc="2A6AB1B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183A49"/>
    <w:multiLevelType w:val="singleLevel"/>
    <w:tmpl w:val="66E4D0B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6EBC6DF0"/>
    <w:multiLevelType w:val="singleLevel"/>
    <w:tmpl w:val="A3E638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02"/>
    <w:rsid w:val="00017DB7"/>
    <w:rsid w:val="00035AE8"/>
    <w:rsid w:val="0006416C"/>
    <w:rsid w:val="000A19C6"/>
    <w:rsid w:val="000B0AC5"/>
    <w:rsid w:val="000B71D6"/>
    <w:rsid w:val="000F4978"/>
    <w:rsid w:val="00140984"/>
    <w:rsid w:val="001558FC"/>
    <w:rsid w:val="00155A8D"/>
    <w:rsid w:val="001D1F7D"/>
    <w:rsid w:val="00262168"/>
    <w:rsid w:val="002761B6"/>
    <w:rsid w:val="002A23A7"/>
    <w:rsid w:val="00347C46"/>
    <w:rsid w:val="00417BA9"/>
    <w:rsid w:val="0042031B"/>
    <w:rsid w:val="004348B2"/>
    <w:rsid w:val="004755AC"/>
    <w:rsid w:val="004A0460"/>
    <w:rsid w:val="004D1230"/>
    <w:rsid w:val="00507D7E"/>
    <w:rsid w:val="00531F5B"/>
    <w:rsid w:val="00551302"/>
    <w:rsid w:val="005B10BC"/>
    <w:rsid w:val="005C5A0A"/>
    <w:rsid w:val="005E06E9"/>
    <w:rsid w:val="006054E2"/>
    <w:rsid w:val="006161A1"/>
    <w:rsid w:val="00655A85"/>
    <w:rsid w:val="006D4A9B"/>
    <w:rsid w:val="006E7F47"/>
    <w:rsid w:val="00723533"/>
    <w:rsid w:val="00785FFA"/>
    <w:rsid w:val="007C609F"/>
    <w:rsid w:val="007D6386"/>
    <w:rsid w:val="007F2C11"/>
    <w:rsid w:val="00832958"/>
    <w:rsid w:val="00870FBC"/>
    <w:rsid w:val="008A07BC"/>
    <w:rsid w:val="008E61B4"/>
    <w:rsid w:val="00934990"/>
    <w:rsid w:val="00A14E5F"/>
    <w:rsid w:val="00A526D9"/>
    <w:rsid w:val="00A8311B"/>
    <w:rsid w:val="00B07774"/>
    <w:rsid w:val="00B11569"/>
    <w:rsid w:val="00B16CFB"/>
    <w:rsid w:val="00B43039"/>
    <w:rsid w:val="00B842F3"/>
    <w:rsid w:val="00B87573"/>
    <w:rsid w:val="00BD1A29"/>
    <w:rsid w:val="00C20EC4"/>
    <w:rsid w:val="00C70ED4"/>
    <w:rsid w:val="00C81C28"/>
    <w:rsid w:val="00CE148A"/>
    <w:rsid w:val="00CF482E"/>
    <w:rsid w:val="00DD18C7"/>
    <w:rsid w:val="00E07C1C"/>
    <w:rsid w:val="00E23FEE"/>
    <w:rsid w:val="00E318C3"/>
    <w:rsid w:val="00E42669"/>
    <w:rsid w:val="00ED3A98"/>
    <w:rsid w:val="00EF5737"/>
    <w:rsid w:val="00F23B02"/>
    <w:rsid w:val="00F7479C"/>
    <w:rsid w:val="00F77E34"/>
    <w:rsid w:val="00FA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8F0E53-CF48-4A33-A8DE-AC095B16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</w:style>
  <w:style w:type="character" w:styleId="Textedelespacerserv">
    <w:name w:val="Placeholder Text"/>
    <w:basedOn w:val="Policepardfaut"/>
    <w:uiPriority w:val="99"/>
    <w:semiHidden/>
    <w:rsid w:val="00CE148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4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4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77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40EEC319</Template>
  <TotalTime>1</TotalTime>
  <Pages>2</Pages>
  <Words>361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</vt:lpstr>
    </vt:vector>
  </TitlesOfParts>
  <Company>UTBM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Herbach</dc:creator>
  <cp:keywords/>
  <dc:description/>
  <cp:lastModifiedBy>Fanny Jacquet</cp:lastModifiedBy>
  <cp:revision>2</cp:revision>
  <cp:lastPrinted>2012-01-13T09:30:00Z</cp:lastPrinted>
  <dcterms:created xsi:type="dcterms:W3CDTF">2016-01-18T08:11:00Z</dcterms:created>
  <dcterms:modified xsi:type="dcterms:W3CDTF">2016-01-18T08:11:00Z</dcterms:modified>
</cp:coreProperties>
</file>