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B7" w:rsidRDefault="00850FDF" w:rsidP="0085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850FDF">
        <w:rPr>
          <w:rFonts w:ascii="Arial" w:hAnsi="Arial" w:cs="Arial"/>
          <w:b/>
          <w:sz w:val="28"/>
          <w:szCs w:val="28"/>
        </w:rPr>
        <w:t>Question 4 Quizz </w:t>
      </w:r>
    </w:p>
    <w:p w:rsidR="00850FDF" w:rsidRPr="00850FDF" w:rsidRDefault="00850FDF" w:rsidP="0085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(Barème : +0.1 point si bonne réponse, -0.1 point si mauvaise réponse, 0.0 point si absence réponse)</w:t>
      </w:r>
    </w:p>
    <w:p w:rsidR="00BC7631" w:rsidRPr="00850FDF" w:rsidRDefault="00BC7631" w:rsidP="00D605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FDF" w:rsidRDefault="00850FDF" w:rsidP="00850FD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50FDF">
        <w:rPr>
          <w:rFonts w:ascii="Arial" w:hAnsi="Arial" w:cs="Arial"/>
          <w:i/>
          <w:sz w:val="20"/>
          <w:szCs w:val="20"/>
        </w:rPr>
        <w:t>Insérez dans votre copie le quizz ci-dessous en y portant vos réponses                                                                                        (Ne pas oublier d’y mentionner votre nom et prénom et d’y apposer votre signature)</w:t>
      </w:r>
    </w:p>
    <w:p w:rsidR="00850FDF" w:rsidRDefault="00850FDF" w:rsidP="00850FD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725"/>
        <w:gridCol w:w="742"/>
        <w:gridCol w:w="815"/>
        <w:gridCol w:w="1927"/>
      </w:tblGrid>
      <w:tr w:rsidR="00BC7631" w:rsidRPr="002E425D" w:rsidTr="0073220F">
        <w:tc>
          <w:tcPr>
            <w:tcW w:w="5726" w:type="dxa"/>
            <w:shd w:val="clear" w:color="auto" w:fill="BFBFBF" w:themeFill="background1" w:themeFillShade="BF"/>
          </w:tcPr>
          <w:p w:rsidR="00BC7631" w:rsidRPr="002E425D" w:rsidRDefault="00BC7631" w:rsidP="00850FDF">
            <w:pPr>
              <w:jc w:val="center"/>
              <w:rPr>
                <w:rFonts w:ascii="Arial" w:hAnsi="Arial" w:cs="Arial"/>
                <w:b/>
              </w:rPr>
            </w:pPr>
            <w:r w:rsidRPr="002E425D">
              <w:rPr>
                <w:rFonts w:ascii="Arial" w:hAnsi="Arial" w:cs="Arial"/>
                <w:b/>
              </w:rPr>
              <w:t>AFFIRMATIONS</w:t>
            </w:r>
          </w:p>
        </w:tc>
        <w:tc>
          <w:tcPr>
            <w:tcW w:w="742" w:type="dxa"/>
            <w:shd w:val="clear" w:color="auto" w:fill="BFBFBF" w:themeFill="background1" w:themeFillShade="BF"/>
          </w:tcPr>
          <w:p w:rsidR="00BC7631" w:rsidRPr="002E425D" w:rsidRDefault="00BC7631" w:rsidP="00850FDF">
            <w:pPr>
              <w:jc w:val="center"/>
              <w:rPr>
                <w:rFonts w:ascii="Arial" w:hAnsi="Arial" w:cs="Arial"/>
                <w:b/>
              </w:rPr>
            </w:pPr>
            <w:r w:rsidRPr="002E425D">
              <w:rPr>
                <w:rFonts w:ascii="Arial" w:hAnsi="Arial" w:cs="Arial"/>
                <w:b/>
              </w:rPr>
              <w:t>VRAI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BC7631" w:rsidRPr="002E425D" w:rsidRDefault="00BC7631" w:rsidP="00850FDF">
            <w:pPr>
              <w:jc w:val="center"/>
              <w:rPr>
                <w:rFonts w:ascii="Arial" w:hAnsi="Arial" w:cs="Arial"/>
                <w:b/>
              </w:rPr>
            </w:pPr>
            <w:r w:rsidRPr="002E425D">
              <w:rPr>
                <w:rFonts w:ascii="Arial" w:hAnsi="Arial" w:cs="Arial"/>
                <w:b/>
              </w:rPr>
              <w:t>FAUX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:rsidR="00BC7631" w:rsidRPr="002E425D" w:rsidRDefault="00BC7631" w:rsidP="00850FDF">
            <w:pPr>
              <w:jc w:val="center"/>
              <w:rPr>
                <w:rFonts w:ascii="Arial" w:hAnsi="Arial" w:cs="Arial"/>
                <w:b/>
              </w:rPr>
            </w:pPr>
            <w:r w:rsidRPr="002E425D">
              <w:rPr>
                <w:rFonts w:ascii="Arial" w:hAnsi="Arial" w:cs="Arial"/>
                <w:b/>
              </w:rPr>
              <w:t>Observations</w:t>
            </w:r>
          </w:p>
        </w:tc>
      </w:tr>
      <w:tr w:rsidR="00E956C7" w:rsidRPr="002E425D" w:rsidTr="0073220F">
        <w:tc>
          <w:tcPr>
            <w:tcW w:w="5726" w:type="dxa"/>
            <w:shd w:val="clear" w:color="auto" w:fill="auto"/>
          </w:tcPr>
          <w:p w:rsidR="005A2E81" w:rsidRPr="002E425D" w:rsidRDefault="00850FDF" w:rsidP="00850FDF">
            <w:pPr>
              <w:ind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850FDF" w:rsidRPr="002E425D" w:rsidRDefault="00850FDF" w:rsidP="00850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 xml:space="preserve">En matière de </w:t>
            </w:r>
            <w:r w:rsidR="0076476A" w:rsidRPr="002E425D">
              <w:rPr>
                <w:rFonts w:ascii="Arial" w:hAnsi="Arial" w:cs="Arial"/>
                <w:sz w:val="18"/>
                <w:szCs w:val="18"/>
              </w:rPr>
              <w:t>tarification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des accidents du travail et maladie</w:t>
            </w:r>
            <w:r w:rsidR="0076476A" w:rsidRPr="002E425D">
              <w:rPr>
                <w:rFonts w:ascii="Arial" w:hAnsi="Arial" w:cs="Arial"/>
                <w:sz w:val="18"/>
                <w:szCs w:val="18"/>
              </w:rPr>
              <w:t>s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professionnelles, il existe deux type</w:t>
            </w:r>
            <w:r w:rsidR="003B1B54">
              <w:rPr>
                <w:rFonts w:ascii="Arial" w:hAnsi="Arial" w:cs="Arial"/>
                <w:sz w:val="18"/>
                <w:szCs w:val="18"/>
              </w:rPr>
              <w:t>s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de tarification</w:t>
            </w:r>
            <w:r w:rsidR="0076476A" w:rsidRPr="002E425D">
              <w:rPr>
                <w:rFonts w:ascii="Arial" w:hAnsi="Arial" w:cs="Arial"/>
                <w:sz w:val="18"/>
                <w:szCs w:val="18"/>
              </w:rPr>
              <w:t>s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76476A" w:rsidRPr="002E425D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la tarification collective et la </w:t>
            </w:r>
            <w:r w:rsidR="0076476A" w:rsidRPr="002E425D">
              <w:rPr>
                <w:rFonts w:ascii="Arial" w:hAnsi="Arial" w:cs="Arial"/>
                <w:sz w:val="18"/>
                <w:szCs w:val="18"/>
              </w:rPr>
              <w:t>tarification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individuelle</w:t>
            </w:r>
          </w:p>
          <w:p w:rsidR="00125C5A" w:rsidRPr="002E425D" w:rsidRDefault="00125C5A" w:rsidP="00850F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E956C7" w:rsidRPr="002E425D" w:rsidRDefault="00E956C7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E956C7" w:rsidRPr="002E425D" w:rsidRDefault="00E956C7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5A2E81" w:rsidRPr="002E425D" w:rsidRDefault="005A2E81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DF" w:rsidRPr="002E425D" w:rsidTr="0073220F">
        <w:tc>
          <w:tcPr>
            <w:tcW w:w="5726" w:type="dxa"/>
            <w:shd w:val="clear" w:color="auto" w:fill="auto"/>
          </w:tcPr>
          <w:p w:rsidR="00850FDF" w:rsidRPr="002E425D" w:rsidRDefault="0076476A" w:rsidP="005A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76476A" w:rsidRPr="002E425D" w:rsidRDefault="0076476A" w:rsidP="005A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 xml:space="preserve">C’est la CPAM (Caisse Primaire d’Assurance Maladie)          </w:t>
            </w:r>
            <w:r w:rsidR="002E425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 qui décide des taux de tarifications des accidents du travail  </w:t>
            </w:r>
            <w:r w:rsidR="002E425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   et maladie</w:t>
            </w:r>
            <w:r w:rsidR="003B1B54">
              <w:rPr>
                <w:rFonts w:ascii="Arial" w:hAnsi="Arial" w:cs="Arial"/>
                <w:sz w:val="18"/>
                <w:szCs w:val="18"/>
              </w:rPr>
              <w:t>s</w:t>
            </w:r>
            <w:r w:rsidR="001C1FF4">
              <w:rPr>
                <w:rFonts w:ascii="Arial" w:hAnsi="Arial" w:cs="Arial"/>
                <w:sz w:val="18"/>
                <w:szCs w:val="18"/>
              </w:rPr>
              <w:t xml:space="preserve"> professionnelles applicables aux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entreprises</w:t>
            </w:r>
          </w:p>
          <w:p w:rsidR="00125C5A" w:rsidRPr="002E425D" w:rsidRDefault="00125C5A" w:rsidP="005A2E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76476A" w:rsidRPr="002E425D" w:rsidRDefault="0076476A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DF" w:rsidRPr="002E425D" w:rsidTr="0073220F">
        <w:tc>
          <w:tcPr>
            <w:tcW w:w="5726" w:type="dxa"/>
            <w:shd w:val="clear" w:color="auto" w:fill="auto"/>
          </w:tcPr>
          <w:p w:rsidR="00850FDF" w:rsidRPr="002E425D" w:rsidRDefault="0076476A" w:rsidP="005A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6476A" w:rsidRPr="002E425D" w:rsidRDefault="0076476A" w:rsidP="005A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 xml:space="preserve">La faute inexcusable de l’employeur                 </w:t>
            </w:r>
            <w:r w:rsidR="002E425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                          relève de la responsabilité pénale </w:t>
            </w:r>
          </w:p>
          <w:p w:rsidR="0076476A" w:rsidRPr="002E425D" w:rsidRDefault="0076476A" w:rsidP="005A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5C5A" w:rsidRPr="002E425D" w:rsidRDefault="00125C5A" w:rsidP="005A2E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76476A" w:rsidRPr="002E425D" w:rsidRDefault="0076476A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DF" w:rsidRPr="002E425D" w:rsidTr="0073220F">
        <w:tc>
          <w:tcPr>
            <w:tcW w:w="5726" w:type="dxa"/>
            <w:shd w:val="clear" w:color="auto" w:fill="auto"/>
          </w:tcPr>
          <w:p w:rsidR="00850FDF" w:rsidRPr="002E425D" w:rsidRDefault="0076476A" w:rsidP="005A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76476A" w:rsidRPr="002E425D" w:rsidRDefault="0076476A" w:rsidP="005A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La d</w:t>
            </w:r>
            <w:r w:rsidR="0073220F">
              <w:rPr>
                <w:rFonts w:ascii="Arial" w:hAnsi="Arial" w:cs="Arial"/>
                <w:sz w:val="18"/>
                <w:szCs w:val="18"/>
              </w:rPr>
              <w:t xml:space="preserve">élégation de pouvoir </w:t>
            </w:r>
            <w:r w:rsidRPr="002E425D">
              <w:rPr>
                <w:rFonts w:ascii="Arial" w:hAnsi="Arial" w:cs="Arial"/>
                <w:sz w:val="18"/>
                <w:szCs w:val="18"/>
              </w:rPr>
              <w:t>en matière d’hygiène</w:t>
            </w:r>
            <w:r w:rsidR="007322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et de sécurité </w:t>
            </w:r>
            <w:r w:rsidR="007322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repose sur 3 éléments :                                                                        la </w:t>
            </w:r>
            <w:r w:rsidR="00125C5A" w:rsidRPr="002E425D">
              <w:rPr>
                <w:rFonts w:ascii="Arial" w:hAnsi="Arial" w:cs="Arial"/>
                <w:sz w:val="18"/>
                <w:szCs w:val="18"/>
              </w:rPr>
              <w:t>compétence,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l’autorité et l’attribution de moyens</w:t>
            </w:r>
          </w:p>
          <w:p w:rsidR="00125C5A" w:rsidRPr="002E425D" w:rsidRDefault="00125C5A" w:rsidP="005A2E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DF" w:rsidRPr="002E425D" w:rsidTr="0073220F">
        <w:tc>
          <w:tcPr>
            <w:tcW w:w="5726" w:type="dxa"/>
            <w:shd w:val="clear" w:color="auto" w:fill="auto"/>
          </w:tcPr>
          <w:p w:rsidR="00850FDF" w:rsidRPr="002E425D" w:rsidRDefault="0076476A" w:rsidP="005A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76476A" w:rsidRPr="002E425D" w:rsidRDefault="0076476A" w:rsidP="005A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 xml:space="preserve">Pour être valable une délégation en matière d’hygiène                  </w:t>
            </w:r>
            <w:r w:rsidR="002E425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et de sécurité auprès d’un manager                                               </w:t>
            </w:r>
            <w:r w:rsidR="002E42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 doit obligatoirement être écrite</w:t>
            </w:r>
          </w:p>
          <w:p w:rsidR="00125C5A" w:rsidRPr="002E425D" w:rsidRDefault="00125C5A" w:rsidP="005A2E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76476A" w:rsidRPr="002E425D" w:rsidRDefault="0076476A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6C7" w:rsidRPr="002E425D" w:rsidTr="0073220F">
        <w:tc>
          <w:tcPr>
            <w:tcW w:w="5726" w:type="dxa"/>
            <w:shd w:val="clear" w:color="auto" w:fill="auto"/>
          </w:tcPr>
          <w:p w:rsidR="005A2E81" w:rsidRPr="002E425D" w:rsidRDefault="00125C5A" w:rsidP="005A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125C5A" w:rsidRPr="002E425D" w:rsidRDefault="00125C5A" w:rsidP="005A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Les TMS reposent sur 2 grands facteurs :</w:t>
            </w:r>
          </w:p>
          <w:p w:rsidR="00125C5A" w:rsidRPr="002E425D" w:rsidRDefault="00125C5A" w:rsidP="00125C5A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Les facteurs biomécaniques : efforts, postures…</w:t>
            </w:r>
          </w:p>
          <w:p w:rsidR="00125C5A" w:rsidRPr="002E425D" w:rsidRDefault="00125C5A" w:rsidP="00125C5A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Les facteurs psychosociaux : stress, insatisfactions…</w:t>
            </w:r>
          </w:p>
          <w:p w:rsidR="00125C5A" w:rsidRPr="002E425D" w:rsidRDefault="00125C5A" w:rsidP="009149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E956C7" w:rsidRPr="002E425D" w:rsidRDefault="00E956C7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E956C7" w:rsidRPr="002E425D" w:rsidRDefault="00E956C7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125C5A" w:rsidRPr="002E425D" w:rsidRDefault="00125C5A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DF" w:rsidRPr="002E425D" w:rsidTr="0073220F">
        <w:tc>
          <w:tcPr>
            <w:tcW w:w="5726" w:type="dxa"/>
            <w:shd w:val="clear" w:color="auto" w:fill="auto"/>
          </w:tcPr>
          <w:p w:rsidR="00850FDF" w:rsidRPr="002E425D" w:rsidRDefault="00125C5A" w:rsidP="005A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125C5A" w:rsidRPr="002E425D" w:rsidRDefault="00125C5A" w:rsidP="00125C5A">
            <w:pPr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L’I TA MA MI est une méthode qui peut être utilisée</w:t>
            </w:r>
            <w:r w:rsidR="003B1B54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pour</w:t>
            </w:r>
            <w:r w:rsidR="003B1B54">
              <w:rPr>
                <w:rFonts w:ascii="Arial" w:hAnsi="Arial" w:cs="Arial"/>
                <w:sz w:val="18"/>
                <w:szCs w:val="18"/>
              </w:rPr>
              <w:t xml:space="preserve"> recueillir les faits et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informations nécessaires                                  à la construction d’un arbre des cause</w:t>
            </w:r>
          </w:p>
          <w:p w:rsidR="00125C5A" w:rsidRPr="002E425D" w:rsidRDefault="00125C5A" w:rsidP="00125C5A">
            <w:pPr>
              <w:ind w:left="2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DF" w:rsidRPr="002E425D" w:rsidTr="0073220F">
        <w:tc>
          <w:tcPr>
            <w:tcW w:w="5726" w:type="dxa"/>
            <w:shd w:val="clear" w:color="auto" w:fill="auto"/>
          </w:tcPr>
          <w:p w:rsidR="00850FDF" w:rsidRPr="002E425D" w:rsidRDefault="00125C5A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8.</w:t>
            </w:r>
          </w:p>
          <w:p w:rsidR="00125C5A" w:rsidRPr="002E425D" w:rsidRDefault="00125C5A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Lors de la construction d’un arbre des causes,</w:t>
            </w:r>
            <w:r w:rsidR="003B1B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25D">
              <w:rPr>
                <w:rFonts w:ascii="Arial" w:hAnsi="Arial" w:cs="Arial"/>
                <w:sz w:val="18"/>
                <w:szCs w:val="18"/>
              </w:rPr>
              <w:t>il faut à chaque étape se poser</w:t>
            </w:r>
            <w:r w:rsidR="0073220F">
              <w:rPr>
                <w:rFonts w:ascii="Arial" w:hAnsi="Arial" w:cs="Arial"/>
                <w:sz w:val="18"/>
                <w:szCs w:val="18"/>
              </w:rPr>
              <w:t xml:space="preserve"> systématiquement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les 2 questions suivante</w:t>
            </w:r>
            <w:r w:rsidR="001C1FF4">
              <w:rPr>
                <w:rFonts w:ascii="Arial" w:hAnsi="Arial" w:cs="Arial"/>
                <w:sz w:val="18"/>
                <w:szCs w:val="18"/>
              </w:rPr>
              <w:t>s</w:t>
            </w:r>
            <w:r w:rsidRPr="002E425D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125C5A" w:rsidRPr="002E425D" w:rsidRDefault="00125C5A" w:rsidP="00125C5A">
            <w:pPr>
              <w:pStyle w:val="Paragraphedeliste"/>
              <w:numPr>
                <w:ilvl w:val="0"/>
                <w:numId w:val="8"/>
              </w:numPr>
              <w:ind w:left="731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Quand cela est-il arrivé ?</w:t>
            </w:r>
          </w:p>
          <w:p w:rsidR="00125C5A" w:rsidRPr="002E425D" w:rsidRDefault="00125C5A" w:rsidP="00125C5A">
            <w:pPr>
              <w:pStyle w:val="Paragraphedeliste"/>
              <w:numPr>
                <w:ilvl w:val="0"/>
                <w:numId w:val="8"/>
              </w:numPr>
              <w:ind w:left="731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Qu’a-t-il fallu pour que cela arrive ?</w:t>
            </w:r>
          </w:p>
        </w:tc>
        <w:tc>
          <w:tcPr>
            <w:tcW w:w="742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9149F9" w:rsidRPr="002E425D" w:rsidRDefault="009149F9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DF" w:rsidRPr="002E425D" w:rsidTr="0073220F">
        <w:tc>
          <w:tcPr>
            <w:tcW w:w="5726" w:type="dxa"/>
            <w:shd w:val="clear" w:color="auto" w:fill="auto"/>
          </w:tcPr>
          <w:p w:rsidR="00850FDF" w:rsidRPr="002E425D" w:rsidRDefault="009149F9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9.</w:t>
            </w:r>
          </w:p>
          <w:p w:rsidR="009149F9" w:rsidRPr="002E425D" w:rsidRDefault="0073220F" w:rsidP="009149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9149F9" w:rsidRPr="002E425D">
              <w:rPr>
                <w:rFonts w:ascii="Arial" w:hAnsi="Arial" w:cs="Arial"/>
                <w:sz w:val="18"/>
                <w:szCs w:val="18"/>
              </w:rPr>
              <w:t>ors de la construction d’un arbre des causes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une conjonction</w:t>
            </w:r>
            <w:r w:rsidR="009149F9" w:rsidRPr="002E425D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r w:rsidR="009149F9" w:rsidRPr="002E425D">
              <w:rPr>
                <w:rFonts w:ascii="Arial" w:hAnsi="Arial" w:cs="Arial"/>
                <w:sz w:val="18"/>
                <w:szCs w:val="18"/>
              </w:rPr>
              <w:t xml:space="preserve"> désigne plusieurs faits avec un seul antécédent</w:t>
            </w:r>
          </w:p>
          <w:p w:rsidR="009149F9" w:rsidRPr="002E425D" w:rsidRDefault="009149F9" w:rsidP="00914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9149F9" w:rsidRPr="002E425D" w:rsidRDefault="009149F9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6C7" w:rsidRPr="002E425D" w:rsidTr="0073220F">
        <w:tc>
          <w:tcPr>
            <w:tcW w:w="5726" w:type="dxa"/>
            <w:shd w:val="clear" w:color="auto" w:fill="auto"/>
          </w:tcPr>
          <w:p w:rsidR="008432A2" w:rsidRPr="002E425D" w:rsidRDefault="009149F9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10.</w:t>
            </w:r>
          </w:p>
          <w:p w:rsidR="009149F9" w:rsidRPr="002E425D" w:rsidRDefault="001C1FF4" w:rsidP="00C974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Sous réserve de faire les déclarations prévu</w:t>
            </w:r>
            <w:r w:rsidR="00C9746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 par la loi,                     l</w:t>
            </w:r>
            <w:r w:rsidR="009149F9" w:rsidRPr="002E425D">
              <w:rPr>
                <w:rFonts w:ascii="Arial" w:hAnsi="Arial" w:cs="Arial"/>
                <w:sz w:val="18"/>
                <w:szCs w:val="18"/>
              </w:rPr>
              <w:t>a seul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149F9" w:rsidRPr="002E425D">
              <w:rPr>
                <w:rFonts w:ascii="Arial" w:hAnsi="Arial" w:cs="Arial"/>
                <w:sz w:val="18"/>
                <w:szCs w:val="18"/>
              </w:rPr>
              <w:t xml:space="preserve"> existence d’un handicap permanent                      </w:t>
            </w:r>
            <w:r w:rsidR="002E425D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C9746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49F9" w:rsidRPr="002E425D">
              <w:rPr>
                <w:rFonts w:ascii="Arial" w:hAnsi="Arial" w:cs="Arial"/>
                <w:sz w:val="18"/>
                <w:szCs w:val="18"/>
              </w:rPr>
              <w:t>perme</w:t>
            </w:r>
            <w:r w:rsidR="003B1B54">
              <w:rPr>
                <w:rFonts w:ascii="Arial" w:hAnsi="Arial" w:cs="Arial"/>
                <w:sz w:val="18"/>
                <w:szCs w:val="18"/>
              </w:rPr>
              <w:t>t</w:t>
            </w:r>
            <w:r w:rsidR="00C97464">
              <w:rPr>
                <w:rFonts w:ascii="Arial" w:hAnsi="Arial" w:cs="Arial"/>
                <w:sz w:val="18"/>
                <w:szCs w:val="18"/>
              </w:rPr>
              <w:t xml:space="preserve"> au salarié</w:t>
            </w:r>
            <w:r w:rsidR="009149F9" w:rsidRPr="002E425D">
              <w:rPr>
                <w:rFonts w:ascii="Arial" w:hAnsi="Arial" w:cs="Arial"/>
                <w:sz w:val="18"/>
                <w:szCs w:val="18"/>
              </w:rPr>
              <w:t xml:space="preserve"> d’obtenir le statut de RQTH                                               (Reconnaissance de la Qualité de Travailleur Handicapé)</w:t>
            </w:r>
          </w:p>
        </w:tc>
        <w:tc>
          <w:tcPr>
            <w:tcW w:w="742" w:type="dxa"/>
            <w:shd w:val="clear" w:color="auto" w:fill="auto"/>
          </w:tcPr>
          <w:p w:rsidR="00E956C7" w:rsidRPr="002E425D" w:rsidRDefault="00E956C7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E956C7" w:rsidRPr="002E425D" w:rsidRDefault="00E956C7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9149F9" w:rsidRPr="002E425D" w:rsidRDefault="009149F9" w:rsidP="009149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6C7" w:rsidRPr="002E425D" w:rsidTr="0073220F">
        <w:tc>
          <w:tcPr>
            <w:tcW w:w="5726" w:type="dxa"/>
            <w:shd w:val="clear" w:color="auto" w:fill="auto"/>
          </w:tcPr>
          <w:p w:rsidR="008432A2" w:rsidRPr="002E425D" w:rsidRDefault="009149F9" w:rsidP="0084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11.</w:t>
            </w:r>
          </w:p>
          <w:p w:rsidR="009149F9" w:rsidRDefault="009149F9" w:rsidP="0084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 xml:space="preserve">CDAPH signifie :                                                                </w:t>
            </w:r>
            <w:r w:rsidR="002E425D" w:rsidRPr="002E425D">
              <w:rPr>
                <w:rFonts w:ascii="Arial" w:hAnsi="Arial" w:cs="Arial"/>
                <w:sz w:val="18"/>
                <w:szCs w:val="18"/>
              </w:rPr>
              <w:t xml:space="preserve">  «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 Commission Départementale Adaptée </w:t>
            </w:r>
            <w:r w:rsidR="00893DF1" w:rsidRPr="002E425D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2E425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93DF1" w:rsidRPr="002E425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2E425D">
              <w:rPr>
                <w:rFonts w:ascii="Arial" w:hAnsi="Arial" w:cs="Arial"/>
                <w:sz w:val="18"/>
                <w:szCs w:val="18"/>
              </w:rPr>
              <w:t>aux Personnes Handicapées »</w:t>
            </w:r>
          </w:p>
          <w:p w:rsidR="002E425D" w:rsidRPr="002E425D" w:rsidRDefault="002E425D" w:rsidP="008432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E956C7" w:rsidRPr="002E425D" w:rsidRDefault="00E956C7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E956C7" w:rsidRPr="002E425D" w:rsidRDefault="00E956C7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911004" w:rsidRPr="002E425D" w:rsidRDefault="00911004" w:rsidP="0091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FDF" w:rsidRPr="002E425D" w:rsidTr="0073220F">
        <w:tc>
          <w:tcPr>
            <w:tcW w:w="5726" w:type="dxa"/>
            <w:shd w:val="clear" w:color="auto" w:fill="auto"/>
          </w:tcPr>
          <w:p w:rsidR="00850FDF" w:rsidRPr="002E425D" w:rsidRDefault="00911004" w:rsidP="0084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12.</w:t>
            </w:r>
          </w:p>
          <w:p w:rsidR="00911004" w:rsidRPr="002E425D" w:rsidRDefault="00911004" w:rsidP="009110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Dans le cas général</w:t>
            </w:r>
            <w:r w:rsidR="00C97464">
              <w:rPr>
                <w:rFonts w:ascii="Arial" w:hAnsi="Arial" w:cs="Arial"/>
                <w:sz w:val="18"/>
                <w:szCs w:val="18"/>
              </w:rPr>
              <w:t>,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et à partir de 20 salariés,                          l’obligation d’emploi des personnes handicapées                            pour les entreprises est de 6% des effectifs salariés inscrits</w:t>
            </w:r>
          </w:p>
          <w:p w:rsidR="00911004" w:rsidRPr="002E425D" w:rsidRDefault="00911004" w:rsidP="009110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25D" w:rsidRPr="002E425D" w:rsidTr="0073220F">
        <w:tc>
          <w:tcPr>
            <w:tcW w:w="5725" w:type="dxa"/>
            <w:shd w:val="clear" w:color="auto" w:fill="BFBFBF" w:themeFill="background1" w:themeFillShade="BF"/>
          </w:tcPr>
          <w:p w:rsidR="002E425D" w:rsidRPr="002E425D" w:rsidRDefault="002E425D" w:rsidP="00537FA1">
            <w:pPr>
              <w:jc w:val="center"/>
              <w:rPr>
                <w:rFonts w:ascii="Arial" w:hAnsi="Arial" w:cs="Arial"/>
                <w:b/>
              </w:rPr>
            </w:pPr>
            <w:r w:rsidRPr="002E425D">
              <w:rPr>
                <w:rFonts w:ascii="Arial" w:hAnsi="Arial" w:cs="Arial"/>
                <w:b/>
              </w:rPr>
              <w:lastRenderedPageBreak/>
              <w:t>AFFIRMATIONS</w:t>
            </w:r>
          </w:p>
        </w:tc>
        <w:tc>
          <w:tcPr>
            <w:tcW w:w="742" w:type="dxa"/>
            <w:shd w:val="clear" w:color="auto" w:fill="BFBFBF" w:themeFill="background1" w:themeFillShade="BF"/>
          </w:tcPr>
          <w:p w:rsidR="002E425D" w:rsidRPr="002E425D" w:rsidRDefault="002E425D" w:rsidP="00537FA1">
            <w:pPr>
              <w:jc w:val="center"/>
              <w:rPr>
                <w:rFonts w:ascii="Arial" w:hAnsi="Arial" w:cs="Arial"/>
                <w:b/>
              </w:rPr>
            </w:pPr>
            <w:r w:rsidRPr="002E425D">
              <w:rPr>
                <w:rFonts w:ascii="Arial" w:hAnsi="Arial" w:cs="Arial"/>
                <w:b/>
              </w:rPr>
              <w:t>VRAI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2E425D" w:rsidRPr="002E425D" w:rsidRDefault="002E425D" w:rsidP="00537FA1">
            <w:pPr>
              <w:jc w:val="center"/>
              <w:rPr>
                <w:rFonts w:ascii="Arial" w:hAnsi="Arial" w:cs="Arial"/>
                <w:b/>
              </w:rPr>
            </w:pPr>
            <w:r w:rsidRPr="002E425D">
              <w:rPr>
                <w:rFonts w:ascii="Arial" w:hAnsi="Arial" w:cs="Arial"/>
                <w:b/>
              </w:rPr>
              <w:t>FAUX</w:t>
            </w:r>
          </w:p>
        </w:tc>
        <w:tc>
          <w:tcPr>
            <w:tcW w:w="1927" w:type="dxa"/>
            <w:shd w:val="clear" w:color="auto" w:fill="BFBFBF" w:themeFill="background1" w:themeFillShade="BF"/>
          </w:tcPr>
          <w:p w:rsidR="002E425D" w:rsidRPr="002E425D" w:rsidRDefault="002E425D" w:rsidP="00537FA1">
            <w:pPr>
              <w:jc w:val="center"/>
              <w:rPr>
                <w:rFonts w:ascii="Arial" w:hAnsi="Arial" w:cs="Arial"/>
                <w:b/>
              </w:rPr>
            </w:pPr>
            <w:r w:rsidRPr="002E425D">
              <w:rPr>
                <w:rFonts w:ascii="Arial" w:hAnsi="Arial" w:cs="Arial"/>
                <w:b/>
              </w:rPr>
              <w:t>Observations</w:t>
            </w:r>
          </w:p>
        </w:tc>
      </w:tr>
      <w:tr w:rsidR="00850FDF" w:rsidRPr="002E425D" w:rsidTr="0073220F">
        <w:tc>
          <w:tcPr>
            <w:tcW w:w="5725" w:type="dxa"/>
            <w:shd w:val="clear" w:color="auto" w:fill="auto"/>
          </w:tcPr>
          <w:p w:rsidR="00850FDF" w:rsidRPr="002E425D" w:rsidRDefault="00724FB6" w:rsidP="0084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13.</w:t>
            </w:r>
          </w:p>
          <w:p w:rsidR="00724FB6" w:rsidRPr="002E425D" w:rsidRDefault="00724FB6" w:rsidP="007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L</w:t>
            </w:r>
            <w:r w:rsidR="00C97464">
              <w:rPr>
                <w:rFonts w:ascii="Arial" w:hAnsi="Arial" w:cs="Arial"/>
                <w:sz w:val="18"/>
                <w:szCs w:val="18"/>
              </w:rPr>
              <w:t>e modèle de Karasek relatif au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stress </w:t>
            </w:r>
            <w:r w:rsidR="00C97464">
              <w:rPr>
                <w:rFonts w:ascii="Arial" w:hAnsi="Arial" w:cs="Arial"/>
                <w:sz w:val="18"/>
                <w:szCs w:val="18"/>
              </w:rPr>
              <w:t>professionnel</w:t>
            </w:r>
            <w:r w:rsidR="0073220F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C974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25D">
              <w:rPr>
                <w:rFonts w:ascii="Arial" w:hAnsi="Arial" w:cs="Arial"/>
                <w:sz w:val="18"/>
                <w:szCs w:val="18"/>
              </w:rPr>
              <w:t>combine deux variables essentielles : la latitude décisionnelle</w:t>
            </w:r>
            <w:r w:rsidR="00C97464"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="0073220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97464">
              <w:rPr>
                <w:rFonts w:ascii="Arial" w:hAnsi="Arial" w:cs="Arial"/>
                <w:sz w:val="18"/>
                <w:szCs w:val="18"/>
              </w:rPr>
              <w:t>les capacités individuelles pour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faire face aux situations stressantes</w:t>
            </w:r>
          </w:p>
          <w:p w:rsidR="00724FB6" w:rsidRPr="002E425D" w:rsidRDefault="00724FB6" w:rsidP="00724F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50FDF" w:rsidRPr="002E425D" w:rsidRDefault="00850FDF" w:rsidP="007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DF" w:rsidRPr="002E425D" w:rsidTr="0073220F">
        <w:tc>
          <w:tcPr>
            <w:tcW w:w="5725" w:type="dxa"/>
            <w:shd w:val="clear" w:color="auto" w:fill="auto"/>
          </w:tcPr>
          <w:p w:rsidR="00850FDF" w:rsidRPr="002E425D" w:rsidRDefault="00724FB6" w:rsidP="0084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 xml:space="preserve">14. </w:t>
            </w:r>
          </w:p>
          <w:p w:rsidR="00724FB6" w:rsidRPr="002E425D" w:rsidRDefault="00724FB6" w:rsidP="0084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 xml:space="preserve">Les démarches de prévention du stress professionnel      </w:t>
            </w:r>
            <w:r w:rsidR="002E425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      doivent privilégier les démarches individuelles                                visant à renforcer la résistance des salariés au stress</w:t>
            </w:r>
          </w:p>
          <w:p w:rsidR="00724FB6" w:rsidRPr="002E425D" w:rsidRDefault="00724FB6" w:rsidP="008432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DF" w:rsidRPr="002E425D" w:rsidTr="0073220F">
        <w:tc>
          <w:tcPr>
            <w:tcW w:w="5725" w:type="dxa"/>
            <w:shd w:val="clear" w:color="auto" w:fill="auto"/>
          </w:tcPr>
          <w:p w:rsidR="00850FDF" w:rsidRPr="002E425D" w:rsidRDefault="00724FB6" w:rsidP="0084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15.</w:t>
            </w:r>
          </w:p>
          <w:p w:rsidR="00724FB6" w:rsidRPr="002E425D" w:rsidRDefault="00724FB6" w:rsidP="00FC79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Les 3 phases du syndrome général d’</w:t>
            </w:r>
            <w:r w:rsidR="00FC791D" w:rsidRPr="002E425D">
              <w:rPr>
                <w:rFonts w:ascii="Arial" w:hAnsi="Arial" w:cs="Arial"/>
                <w:sz w:val="18"/>
                <w:szCs w:val="18"/>
              </w:rPr>
              <w:t>adaptation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791D" w:rsidRPr="002E425D">
              <w:rPr>
                <w:rFonts w:ascii="Arial" w:hAnsi="Arial" w:cs="Arial"/>
                <w:sz w:val="18"/>
                <w:szCs w:val="18"/>
              </w:rPr>
              <w:t xml:space="preserve">face au stress </w:t>
            </w:r>
            <w:r w:rsidRPr="002E425D">
              <w:rPr>
                <w:rFonts w:ascii="Arial" w:hAnsi="Arial" w:cs="Arial"/>
                <w:sz w:val="18"/>
                <w:szCs w:val="18"/>
              </w:rPr>
              <w:t>identifiée</w:t>
            </w:r>
            <w:r w:rsidR="00FC791D" w:rsidRPr="002E425D">
              <w:rPr>
                <w:rFonts w:ascii="Arial" w:hAnsi="Arial" w:cs="Arial"/>
                <w:sz w:val="18"/>
                <w:szCs w:val="18"/>
              </w:rPr>
              <w:t>s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par Hans Selye sont </w:t>
            </w:r>
            <w:r w:rsidR="00FC791D" w:rsidRPr="002E425D">
              <w:rPr>
                <w:rFonts w:ascii="Arial" w:hAnsi="Arial" w:cs="Arial"/>
                <w:sz w:val="18"/>
                <w:szCs w:val="18"/>
              </w:rPr>
              <w:t>les suivantes</w:t>
            </w:r>
            <w:r w:rsidRPr="002E425D">
              <w:rPr>
                <w:rFonts w:ascii="Arial" w:hAnsi="Arial" w:cs="Arial"/>
                <w:sz w:val="18"/>
                <w:szCs w:val="18"/>
              </w:rPr>
              <w:t>:</w:t>
            </w:r>
            <w:r w:rsidR="00FC791D" w:rsidRPr="002E425D">
              <w:rPr>
                <w:rFonts w:ascii="Arial" w:hAnsi="Arial" w:cs="Arial"/>
                <w:sz w:val="18"/>
                <w:szCs w:val="18"/>
              </w:rPr>
              <w:t xml:space="preserve"> d’abord une réaction d’alarme</w:t>
            </w:r>
            <w:r w:rsidR="003B1B54">
              <w:rPr>
                <w:rFonts w:ascii="Arial" w:hAnsi="Arial" w:cs="Arial"/>
                <w:sz w:val="18"/>
                <w:szCs w:val="18"/>
              </w:rPr>
              <w:t>,</w:t>
            </w:r>
            <w:r w:rsidR="00FC791D" w:rsidRPr="002E425D">
              <w:rPr>
                <w:rFonts w:ascii="Arial" w:hAnsi="Arial" w:cs="Arial"/>
                <w:sz w:val="18"/>
                <w:szCs w:val="18"/>
              </w:rPr>
              <w:t xml:space="preserve"> puis une résistance face à la situation stressante</w:t>
            </w:r>
            <w:r w:rsidR="003B1B54">
              <w:rPr>
                <w:rFonts w:ascii="Arial" w:hAnsi="Arial" w:cs="Arial"/>
                <w:sz w:val="18"/>
                <w:szCs w:val="18"/>
              </w:rPr>
              <w:t xml:space="preserve">,              </w:t>
            </w:r>
            <w:r w:rsidR="00FC791D" w:rsidRPr="002E425D">
              <w:rPr>
                <w:rFonts w:ascii="Arial" w:hAnsi="Arial" w:cs="Arial"/>
                <w:sz w:val="18"/>
                <w:szCs w:val="18"/>
              </w:rPr>
              <w:t xml:space="preserve"> et enfin un épuisement si la situation se prolonge</w:t>
            </w:r>
          </w:p>
        </w:tc>
        <w:tc>
          <w:tcPr>
            <w:tcW w:w="742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DF" w:rsidRPr="002E425D" w:rsidTr="0073220F">
        <w:tc>
          <w:tcPr>
            <w:tcW w:w="5725" w:type="dxa"/>
            <w:shd w:val="clear" w:color="auto" w:fill="auto"/>
          </w:tcPr>
          <w:p w:rsidR="00850FDF" w:rsidRPr="002E425D" w:rsidRDefault="00E67E2D" w:rsidP="0084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16.</w:t>
            </w:r>
          </w:p>
          <w:p w:rsidR="00E67E2D" w:rsidRPr="002E425D" w:rsidRDefault="00E67E2D" w:rsidP="0084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 xml:space="preserve">Un comburant désigne </w:t>
            </w:r>
            <w:r w:rsidR="0073220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</w:t>
            </w:r>
            <w:r w:rsidRPr="002E425D">
              <w:rPr>
                <w:rFonts w:ascii="Arial" w:hAnsi="Arial" w:cs="Arial"/>
                <w:sz w:val="18"/>
                <w:szCs w:val="18"/>
              </w:rPr>
              <w:t>une matière capable de se consumer</w:t>
            </w:r>
          </w:p>
          <w:p w:rsidR="00E67E2D" w:rsidRPr="002E425D" w:rsidRDefault="00E67E2D" w:rsidP="0084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7E2D" w:rsidRPr="002E425D" w:rsidRDefault="00E67E2D" w:rsidP="008432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E67E2D" w:rsidRPr="002E425D" w:rsidRDefault="00E67E2D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DF" w:rsidRPr="002E425D" w:rsidTr="0073220F">
        <w:tc>
          <w:tcPr>
            <w:tcW w:w="5725" w:type="dxa"/>
            <w:shd w:val="clear" w:color="auto" w:fill="auto"/>
          </w:tcPr>
          <w:p w:rsidR="00850FDF" w:rsidRPr="002E425D" w:rsidRDefault="00E67E2D" w:rsidP="0084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17.</w:t>
            </w:r>
          </w:p>
          <w:p w:rsidR="0089585A" w:rsidRPr="002E425D" w:rsidRDefault="00E67E2D" w:rsidP="00195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Il faut trois éléments simultané</w:t>
            </w:r>
            <w:r w:rsidR="0073220F">
              <w:rPr>
                <w:rFonts w:ascii="Arial" w:hAnsi="Arial" w:cs="Arial"/>
                <w:sz w:val="18"/>
                <w:szCs w:val="18"/>
              </w:rPr>
              <w:t>s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585A" w:rsidRPr="002E425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Pr="002E425D">
              <w:rPr>
                <w:rFonts w:ascii="Arial" w:hAnsi="Arial" w:cs="Arial"/>
                <w:sz w:val="18"/>
                <w:szCs w:val="18"/>
              </w:rPr>
              <w:t>pour qu’</w:t>
            </w:r>
            <w:r w:rsidR="0089585A" w:rsidRPr="002E425D">
              <w:rPr>
                <w:rFonts w:ascii="Arial" w:hAnsi="Arial" w:cs="Arial"/>
                <w:sz w:val="18"/>
                <w:szCs w:val="18"/>
              </w:rPr>
              <w:t>u</w:t>
            </w:r>
            <w:r w:rsidRPr="002E425D">
              <w:rPr>
                <w:rFonts w:ascii="Arial" w:hAnsi="Arial" w:cs="Arial"/>
                <w:sz w:val="18"/>
                <w:szCs w:val="18"/>
              </w:rPr>
              <w:t>n</w:t>
            </w:r>
            <w:r w:rsidR="0089585A" w:rsidRPr="002E425D">
              <w:rPr>
                <w:rFonts w:ascii="Arial" w:hAnsi="Arial" w:cs="Arial"/>
                <w:sz w:val="18"/>
                <w:szCs w:val="18"/>
              </w:rPr>
              <w:t>e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combustion</w:t>
            </w:r>
            <w:r w:rsidR="0089585A" w:rsidRPr="002E42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25D">
              <w:rPr>
                <w:rFonts w:ascii="Arial" w:hAnsi="Arial" w:cs="Arial"/>
                <w:sz w:val="18"/>
                <w:szCs w:val="18"/>
              </w:rPr>
              <w:t>soit possible :</w:t>
            </w:r>
            <w:r w:rsidR="0089585A" w:rsidRPr="002E425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un comburant, un combustible et une matière inflammable</w:t>
            </w:r>
          </w:p>
          <w:p w:rsidR="00195F33" w:rsidRPr="002E425D" w:rsidRDefault="00195F33" w:rsidP="00195F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6C7" w:rsidRPr="002E425D" w:rsidTr="0073220F">
        <w:tc>
          <w:tcPr>
            <w:tcW w:w="5725" w:type="dxa"/>
            <w:shd w:val="clear" w:color="auto" w:fill="auto"/>
          </w:tcPr>
          <w:p w:rsidR="008432A2" w:rsidRPr="002E425D" w:rsidRDefault="0089585A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18.</w:t>
            </w:r>
          </w:p>
          <w:p w:rsidR="0089585A" w:rsidRPr="002E425D" w:rsidRDefault="0089585A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En matière d’explosivité la LIE et la LSE                                     permettent de définir et d’identifier le domaine d’explosivité</w:t>
            </w:r>
          </w:p>
          <w:p w:rsidR="0089585A" w:rsidRPr="002E425D" w:rsidRDefault="0089585A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585A" w:rsidRPr="002E425D" w:rsidRDefault="0089585A" w:rsidP="00D702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E956C7" w:rsidRPr="002E425D" w:rsidRDefault="00E956C7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E956C7" w:rsidRPr="002E425D" w:rsidRDefault="00E956C7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432A2" w:rsidRPr="002E425D" w:rsidRDefault="008432A2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6C7" w:rsidRPr="002E425D" w:rsidTr="0073220F">
        <w:tc>
          <w:tcPr>
            <w:tcW w:w="5725" w:type="dxa"/>
            <w:shd w:val="clear" w:color="auto" w:fill="auto"/>
          </w:tcPr>
          <w:p w:rsidR="008432A2" w:rsidRPr="002E425D" w:rsidRDefault="0089585A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19.</w:t>
            </w:r>
          </w:p>
          <w:p w:rsidR="0089585A" w:rsidRPr="002E425D" w:rsidRDefault="00036D85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 xml:space="preserve">Le programme européen dit « REACH » a mis en place un système unique d’enregistrement, d’évaluation et d’autorisation </w:t>
            </w:r>
            <w:r w:rsidR="00D63CD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2E425D">
              <w:rPr>
                <w:rFonts w:ascii="Arial" w:hAnsi="Arial" w:cs="Arial"/>
                <w:sz w:val="18"/>
                <w:szCs w:val="18"/>
              </w:rPr>
              <w:t>des substances chimiques</w:t>
            </w:r>
            <w:r w:rsidR="003B1B54">
              <w:rPr>
                <w:rFonts w:ascii="Arial" w:hAnsi="Arial" w:cs="Arial"/>
                <w:sz w:val="18"/>
                <w:szCs w:val="18"/>
              </w:rPr>
              <w:t xml:space="preserve"> en Europe</w:t>
            </w:r>
          </w:p>
          <w:p w:rsidR="0089585A" w:rsidRPr="002E425D" w:rsidRDefault="0089585A" w:rsidP="00D702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E956C7" w:rsidRPr="002E425D" w:rsidRDefault="00E956C7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E956C7" w:rsidRPr="002E425D" w:rsidRDefault="00E956C7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432A2" w:rsidRPr="002E425D" w:rsidRDefault="008432A2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DF" w:rsidRPr="002E425D" w:rsidTr="0073220F">
        <w:tc>
          <w:tcPr>
            <w:tcW w:w="5725" w:type="dxa"/>
            <w:shd w:val="clear" w:color="auto" w:fill="auto"/>
          </w:tcPr>
          <w:p w:rsidR="0089585A" w:rsidRPr="002E425D" w:rsidRDefault="0089585A" w:rsidP="00895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20.</w:t>
            </w:r>
          </w:p>
          <w:p w:rsidR="0089585A" w:rsidRPr="002E425D" w:rsidRDefault="0089585A" w:rsidP="00895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 xml:space="preserve">En France, on dénombre environ 200 000 pompiers volontaires </w:t>
            </w:r>
            <w:r w:rsidR="003B1B5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2E425D">
              <w:rPr>
                <w:rFonts w:ascii="Arial" w:hAnsi="Arial" w:cs="Arial"/>
                <w:sz w:val="18"/>
                <w:szCs w:val="18"/>
              </w:rPr>
              <w:t>qui vivent un engament quotidien au service de la sécurité</w:t>
            </w:r>
            <w:r w:rsidR="003B1B5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de chacun et ce</w:t>
            </w:r>
            <w:r w:rsidR="00D63CD4">
              <w:rPr>
                <w:rFonts w:ascii="Arial" w:hAnsi="Arial" w:cs="Arial"/>
                <w:sz w:val="18"/>
                <w:szCs w:val="18"/>
              </w:rPr>
              <w:t>,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en parallèle avec leurs activités</w:t>
            </w:r>
            <w:r w:rsidR="003B1B54">
              <w:rPr>
                <w:rFonts w:ascii="Arial" w:hAnsi="Arial" w:cs="Arial"/>
                <w:sz w:val="18"/>
                <w:szCs w:val="18"/>
              </w:rPr>
              <w:t xml:space="preserve"> habituelles</w:t>
            </w:r>
          </w:p>
          <w:p w:rsidR="0089585A" w:rsidRPr="002E425D" w:rsidRDefault="0089585A" w:rsidP="00895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6C7" w:rsidRPr="002E425D" w:rsidTr="0073220F">
        <w:tc>
          <w:tcPr>
            <w:tcW w:w="5725" w:type="dxa"/>
            <w:shd w:val="clear" w:color="auto" w:fill="auto"/>
          </w:tcPr>
          <w:p w:rsidR="008432A2" w:rsidRPr="002E425D" w:rsidRDefault="0089585A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21.</w:t>
            </w:r>
          </w:p>
          <w:p w:rsidR="0089585A" w:rsidRPr="002E425D" w:rsidRDefault="00036D85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Le sigle CMR s’applique au</w:t>
            </w:r>
            <w:r w:rsidR="0073220F">
              <w:rPr>
                <w:rFonts w:ascii="Arial" w:hAnsi="Arial" w:cs="Arial"/>
                <w:sz w:val="18"/>
                <w:szCs w:val="18"/>
              </w:rPr>
              <w:t>x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produit</w:t>
            </w:r>
            <w:r w:rsidR="0073220F">
              <w:rPr>
                <w:rFonts w:ascii="Arial" w:hAnsi="Arial" w:cs="Arial"/>
                <w:sz w:val="18"/>
                <w:szCs w:val="18"/>
              </w:rPr>
              <w:t>s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dits</w:t>
            </w:r>
            <w:r w:rsidR="0089585A" w:rsidRPr="002E425D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036D85" w:rsidRPr="002E425D" w:rsidRDefault="00036D85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« </w:t>
            </w:r>
            <w:r w:rsidR="0089585A" w:rsidRPr="002E425D">
              <w:rPr>
                <w:rFonts w:ascii="Arial" w:hAnsi="Arial" w:cs="Arial"/>
                <w:sz w:val="18"/>
                <w:szCs w:val="18"/>
              </w:rPr>
              <w:t>Cancérogène,</w:t>
            </w:r>
            <w:r w:rsidR="0073220F">
              <w:rPr>
                <w:rFonts w:ascii="Arial" w:hAnsi="Arial" w:cs="Arial"/>
                <w:sz w:val="18"/>
                <w:szCs w:val="18"/>
              </w:rPr>
              <w:t xml:space="preserve"> Mutagènes et Réactifs</w:t>
            </w:r>
            <w:r w:rsidRPr="002E425D">
              <w:rPr>
                <w:rFonts w:ascii="Arial" w:hAnsi="Arial" w:cs="Arial"/>
                <w:sz w:val="18"/>
                <w:szCs w:val="18"/>
              </w:rPr>
              <w:t> »</w:t>
            </w:r>
            <w:r w:rsidR="0073220F">
              <w:rPr>
                <w:rFonts w:ascii="Arial" w:hAnsi="Arial" w:cs="Arial"/>
                <w:sz w:val="18"/>
                <w:szCs w:val="18"/>
              </w:rPr>
              <w:t xml:space="preserve"> pour la santé</w:t>
            </w:r>
          </w:p>
          <w:p w:rsidR="00036D85" w:rsidRPr="002E425D" w:rsidRDefault="00036D85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585A" w:rsidRPr="002E425D" w:rsidRDefault="0089585A" w:rsidP="00D702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E956C7" w:rsidRPr="002E425D" w:rsidRDefault="00E956C7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E956C7" w:rsidRPr="002E425D" w:rsidRDefault="00E956C7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7E188B" w:rsidRPr="002E425D" w:rsidRDefault="007E188B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88B" w:rsidRPr="002E425D" w:rsidTr="0073220F">
        <w:tc>
          <w:tcPr>
            <w:tcW w:w="5725" w:type="dxa"/>
            <w:shd w:val="clear" w:color="auto" w:fill="auto"/>
          </w:tcPr>
          <w:p w:rsidR="007E188B" w:rsidRPr="002E425D" w:rsidRDefault="00036D85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22.</w:t>
            </w:r>
          </w:p>
          <w:p w:rsidR="00036D85" w:rsidRPr="002E425D" w:rsidRDefault="00195F33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Un risque majeur est caractérisé par deux critères essentiels :</w:t>
            </w:r>
          </w:p>
          <w:p w:rsidR="00195F33" w:rsidRPr="002E425D" w:rsidRDefault="00195F33" w:rsidP="00195F33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Un nombre de victime</w:t>
            </w:r>
            <w:r w:rsidR="0073220F">
              <w:rPr>
                <w:rFonts w:ascii="Arial" w:hAnsi="Arial" w:cs="Arial"/>
                <w:sz w:val="18"/>
                <w:szCs w:val="18"/>
              </w:rPr>
              <w:t>s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important</w:t>
            </w:r>
          </w:p>
          <w:p w:rsidR="00036D85" w:rsidRPr="002E425D" w:rsidRDefault="00195F33" w:rsidP="00195F33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Des dommages importants aux biens et à l’environnement</w:t>
            </w:r>
          </w:p>
          <w:p w:rsidR="00195F33" w:rsidRPr="002E425D" w:rsidRDefault="00195F33" w:rsidP="00195F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7E188B" w:rsidRPr="002E425D" w:rsidRDefault="007E188B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7E188B" w:rsidRPr="002E425D" w:rsidRDefault="007E188B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7E188B" w:rsidRPr="002E425D" w:rsidRDefault="007E188B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6C7" w:rsidRPr="002E425D" w:rsidTr="0073220F">
        <w:tc>
          <w:tcPr>
            <w:tcW w:w="5725" w:type="dxa"/>
            <w:shd w:val="clear" w:color="auto" w:fill="auto"/>
          </w:tcPr>
          <w:p w:rsidR="007E188B" w:rsidRPr="002E425D" w:rsidRDefault="00195F33" w:rsidP="0006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23.</w:t>
            </w:r>
          </w:p>
          <w:p w:rsidR="00195F33" w:rsidRPr="002E425D" w:rsidRDefault="00195F33" w:rsidP="00195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La loi de 1976 sur le ICPE désigne les </w:t>
            </w:r>
          </w:p>
          <w:p w:rsidR="00195F33" w:rsidRPr="002E425D" w:rsidRDefault="00195F33" w:rsidP="00195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« Installations Classées pour la Protection                                            de l’Environnement »</w:t>
            </w:r>
          </w:p>
          <w:p w:rsidR="00195F33" w:rsidRPr="002E425D" w:rsidRDefault="00195F33" w:rsidP="00195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E956C7" w:rsidRPr="002E425D" w:rsidRDefault="00E956C7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E956C7" w:rsidRPr="002E425D" w:rsidRDefault="00E956C7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E956C7" w:rsidRPr="002E425D" w:rsidRDefault="00E956C7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DF" w:rsidRPr="002E425D" w:rsidTr="0073220F">
        <w:tc>
          <w:tcPr>
            <w:tcW w:w="5725" w:type="dxa"/>
            <w:shd w:val="clear" w:color="auto" w:fill="auto"/>
          </w:tcPr>
          <w:p w:rsidR="00850FDF" w:rsidRPr="002E425D" w:rsidRDefault="00195F33" w:rsidP="0006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24.</w:t>
            </w:r>
          </w:p>
          <w:p w:rsidR="00195F33" w:rsidRPr="002E425D" w:rsidRDefault="00195F33" w:rsidP="0006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 xml:space="preserve">La catastrophe de Malpasset </w:t>
            </w:r>
            <w:r w:rsidR="0073220F">
              <w:rPr>
                <w:rFonts w:ascii="Arial" w:hAnsi="Arial" w:cs="Arial"/>
                <w:sz w:val="18"/>
                <w:szCs w:val="18"/>
              </w:rPr>
              <w:t>est relative                                                     à</w:t>
            </w:r>
            <w:r w:rsidRPr="002E425D">
              <w:rPr>
                <w:rFonts w:ascii="Arial" w:hAnsi="Arial" w:cs="Arial"/>
                <w:sz w:val="18"/>
                <w:szCs w:val="18"/>
              </w:rPr>
              <w:t xml:space="preserve"> la rupture du barrage dit de Fréjus                                   </w:t>
            </w:r>
            <w:r w:rsidR="00C97464">
              <w:rPr>
                <w:rFonts w:ascii="Arial" w:hAnsi="Arial" w:cs="Arial"/>
                <w:sz w:val="18"/>
                <w:szCs w:val="18"/>
              </w:rPr>
              <w:t xml:space="preserve">                    qui a causé </w:t>
            </w:r>
            <w:r w:rsidR="0073220F">
              <w:rPr>
                <w:rFonts w:ascii="Arial" w:hAnsi="Arial" w:cs="Arial"/>
                <w:sz w:val="18"/>
                <w:szCs w:val="18"/>
              </w:rPr>
              <w:t xml:space="preserve">en France </w:t>
            </w:r>
            <w:r w:rsidRPr="002E425D">
              <w:rPr>
                <w:rFonts w:ascii="Arial" w:hAnsi="Arial" w:cs="Arial"/>
                <w:sz w:val="18"/>
                <w:szCs w:val="18"/>
              </w:rPr>
              <w:t>plus de 400 victimes en 1959</w:t>
            </w:r>
          </w:p>
          <w:p w:rsidR="00195F33" w:rsidRPr="002E425D" w:rsidRDefault="00195F33" w:rsidP="000635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DF" w:rsidRPr="002E425D" w:rsidTr="0073220F">
        <w:tc>
          <w:tcPr>
            <w:tcW w:w="5725" w:type="dxa"/>
            <w:shd w:val="clear" w:color="auto" w:fill="auto"/>
          </w:tcPr>
          <w:p w:rsidR="00850FDF" w:rsidRPr="002E425D" w:rsidRDefault="00195F33" w:rsidP="0006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>25.</w:t>
            </w:r>
          </w:p>
          <w:p w:rsidR="00195F33" w:rsidRPr="002E425D" w:rsidRDefault="00195F33" w:rsidP="0006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5D">
              <w:rPr>
                <w:rFonts w:ascii="Arial" w:hAnsi="Arial" w:cs="Arial"/>
                <w:sz w:val="18"/>
                <w:szCs w:val="18"/>
              </w:rPr>
              <w:t xml:space="preserve">Il y a en France </w:t>
            </w:r>
            <w:r w:rsidR="008A3A70" w:rsidRPr="002E425D">
              <w:rPr>
                <w:rFonts w:ascii="Arial" w:hAnsi="Arial" w:cs="Arial"/>
                <w:sz w:val="18"/>
                <w:szCs w:val="18"/>
              </w:rPr>
              <w:t xml:space="preserve">environ 650 sites qui relèvent                                  </w:t>
            </w:r>
            <w:r w:rsidR="002E42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3A70" w:rsidRPr="002E425D">
              <w:rPr>
                <w:rFonts w:ascii="Arial" w:hAnsi="Arial" w:cs="Arial"/>
                <w:sz w:val="18"/>
                <w:szCs w:val="18"/>
              </w:rPr>
              <w:t xml:space="preserve"> du classement européen relatif au</w:t>
            </w:r>
            <w:r w:rsidR="003B1B54">
              <w:rPr>
                <w:rFonts w:ascii="Arial" w:hAnsi="Arial" w:cs="Arial"/>
                <w:sz w:val="18"/>
                <w:szCs w:val="18"/>
              </w:rPr>
              <w:t>x</w:t>
            </w:r>
            <w:r w:rsidR="008A3A70" w:rsidRPr="002E425D">
              <w:rPr>
                <w:rFonts w:ascii="Arial" w:hAnsi="Arial" w:cs="Arial"/>
                <w:sz w:val="18"/>
                <w:szCs w:val="18"/>
              </w:rPr>
              <w:t xml:space="preserve"> risques industriels </w:t>
            </w:r>
            <w:r w:rsidR="00C9746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D63CD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9746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8A3A70" w:rsidRPr="002E425D">
              <w:rPr>
                <w:rFonts w:ascii="Arial" w:hAnsi="Arial" w:cs="Arial"/>
                <w:sz w:val="18"/>
                <w:szCs w:val="18"/>
              </w:rPr>
              <w:t>et technologiques dits SEVESO 1 et 2</w:t>
            </w:r>
            <w:r w:rsidR="0073220F">
              <w:rPr>
                <w:rFonts w:ascii="Arial" w:hAnsi="Arial" w:cs="Arial"/>
                <w:sz w:val="18"/>
                <w:szCs w:val="18"/>
              </w:rPr>
              <w:t xml:space="preserve"> (seuils bas et haut)</w:t>
            </w:r>
          </w:p>
          <w:p w:rsidR="008A3A70" w:rsidRPr="002E425D" w:rsidRDefault="008A3A70" w:rsidP="000635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50FDF" w:rsidRPr="002E425D" w:rsidRDefault="00850FDF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A3A70" w:rsidRPr="002E425D" w:rsidRDefault="008A3A70" w:rsidP="00D7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7631" w:rsidRPr="002E425D" w:rsidRDefault="00BC7631">
      <w:pPr>
        <w:rPr>
          <w:rFonts w:ascii="Arial" w:hAnsi="Arial" w:cs="Arial"/>
          <w:sz w:val="18"/>
          <w:szCs w:val="18"/>
        </w:rPr>
      </w:pPr>
    </w:p>
    <w:sectPr w:rsidR="00BC7631" w:rsidRPr="002E425D" w:rsidSect="00893DF1">
      <w:headerReference w:type="default" r:id="rId8"/>
      <w:footerReference w:type="default" r:id="rId9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D7" w:rsidRDefault="005450D7" w:rsidP="00850FDF">
      <w:pPr>
        <w:spacing w:after="0" w:line="240" w:lineRule="auto"/>
      </w:pPr>
      <w:r>
        <w:separator/>
      </w:r>
    </w:p>
  </w:endnote>
  <w:endnote w:type="continuationSeparator" w:id="0">
    <w:p w:rsidR="005450D7" w:rsidRDefault="005450D7" w:rsidP="0085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DF" w:rsidRPr="00850FDF" w:rsidRDefault="00850FDF">
    <w:pPr>
      <w:pStyle w:val="Pieddepage"/>
      <w:rPr>
        <w:rFonts w:ascii="Arial" w:hAnsi="Arial" w:cs="Arial"/>
        <w:sz w:val="20"/>
        <w:szCs w:val="20"/>
      </w:rPr>
    </w:pPr>
    <w:r w:rsidRPr="00850FDF">
      <w:rPr>
        <w:rFonts w:ascii="Arial" w:hAnsi="Arial" w:cs="Arial"/>
        <w:sz w:val="20"/>
        <w:szCs w:val="20"/>
      </w:rPr>
      <w:t>Pierre GUENEBAUT</w:t>
    </w:r>
  </w:p>
  <w:p w:rsidR="00850FDF" w:rsidRPr="00850FDF" w:rsidRDefault="00850FDF">
    <w:pPr>
      <w:pStyle w:val="Pieddepage"/>
      <w:rPr>
        <w:rFonts w:ascii="Arial" w:hAnsi="Arial" w:cs="Arial"/>
        <w:sz w:val="20"/>
        <w:szCs w:val="20"/>
      </w:rPr>
    </w:pPr>
    <w:r w:rsidRPr="00850FDF">
      <w:rPr>
        <w:rFonts w:ascii="Arial" w:hAnsi="Arial" w:cs="Arial"/>
        <w:sz w:val="20"/>
        <w:szCs w:val="20"/>
      </w:rPr>
      <w:t>Médian SO09 P2017</w:t>
    </w:r>
  </w:p>
  <w:p w:rsidR="00850FDF" w:rsidRDefault="00850F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D7" w:rsidRDefault="005450D7" w:rsidP="00850FDF">
      <w:pPr>
        <w:spacing w:after="0" w:line="240" w:lineRule="auto"/>
      </w:pPr>
      <w:r>
        <w:separator/>
      </w:r>
    </w:p>
  </w:footnote>
  <w:footnote w:type="continuationSeparator" w:id="0">
    <w:p w:rsidR="005450D7" w:rsidRDefault="005450D7" w:rsidP="0085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08" w:rsidRPr="00801D08" w:rsidRDefault="00801D08" w:rsidP="00801D08">
    <w:pPr>
      <w:pStyle w:val="En-tte"/>
      <w:jc w:val="center"/>
      <w:rPr>
        <w:rFonts w:ascii="Times New Roman" w:eastAsia="Times New Roman" w:hAnsi="Times New Roman" w:cs="Times New Roman"/>
        <w:color w:val="FF0000"/>
        <w:sz w:val="24"/>
        <w:szCs w:val="24"/>
        <w:lang w:eastAsia="fr-FR"/>
      </w:rPr>
    </w:pPr>
    <w:r w:rsidRPr="00801D08">
      <w:rPr>
        <w:rFonts w:ascii="Times New Roman" w:eastAsia="Times New Roman" w:hAnsi="Times New Roman" w:cs="Times New Roman"/>
        <w:color w:val="FF0000"/>
        <w:sz w:val="24"/>
        <w:szCs w:val="24"/>
        <w:lang w:eastAsia="fr-FR"/>
      </w:rPr>
      <w:t>SO09</w:t>
    </w:r>
    <w:r>
      <w:rPr>
        <w:rFonts w:ascii="Times New Roman" w:eastAsia="Times New Roman" w:hAnsi="Times New Roman" w:cs="Times New Roman"/>
        <w:color w:val="FF0000"/>
        <w:sz w:val="24"/>
        <w:szCs w:val="24"/>
        <w:lang w:eastAsia="fr-FR"/>
      </w:rPr>
      <w:t>-2017P-MS01-02</w:t>
    </w:r>
  </w:p>
  <w:p w:rsidR="00801D08" w:rsidRDefault="00801D08" w:rsidP="00801D08">
    <w:pPr>
      <w:pStyle w:val="En-tte"/>
      <w:jc w:val="center"/>
    </w:pPr>
  </w:p>
  <w:p w:rsidR="00850FDF" w:rsidRDefault="00850F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6266"/>
    <w:multiLevelType w:val="hybridMultilevel"/>
    <w:tmpl w:val="7E46B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3A28"/>
    <w:multiLevelType w:val="hybridMultilevel"/>
    <w:tmpl w:val="BD26D0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D5B33"/>
    <w:multiLevelType w:val="hybridMultilevel"/>
    <w:tmpl w:val="E7AEC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A4045"/>
    <w:multiLevelType w:val="hybridMultilevel"/>
    <w:tmpl w:val="C73CF3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E76E7"/>
    <w:multiLevelType w:val="hybridMultilevel"/>
    <w:tmpl w:val="BDD0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67BA8"/>
    <w:multiLevelType w:val="hybridMultilevel"/>
    <w:tmpl w:val="498CD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F75FB"/>
    <w:multiLevelType w:val="hybridMultilevel"/>
    <w:tmpl w:val="CA663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34F3D"/>
    <w:multiLevelType w:val="hybridMultilevel"/>
    <w:tmpl w:val="5CE89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B175D"/>
    <w:multiLevelType w:val="hybridMultilevel"/>
    <w:tmpl w:val="14EAD4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315F80"/>
    <w:multiLevelType w:val="hybridMultilevel"/>
    <w:tmpl w:val="0E123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31"/>
    <w:rsid w:val="00003347"/>
    <w:rsid w:val="00036D85"/>
    <w:rsid w:val="00063568"/>
    <w:rsid w:val="000F55F3"/>
    <w:rsid w:val="00125C5A"/>
    <w:rsid w:val="00195F33"/>
    <w:rsid w:val="001C1FF4"/>
    <w:rsid w:val="002119D7"/>
    <w:rsid w:val="00220D6A"/>
    <w:rsid w:val="002E425D"/>
    <w:rsid w:val="003770B7"/>
    <w:rsid w:val="003979A7"/>
    <w:rsid w:val="003B1B54"/>
    <w:rsid w:val="004B1AE9"/>
    <w:rsid w:val="005450D7"/>
    <w:rsid w:val="005921C5"/>
    <w:rsid w:val="005A2E81"/>
    <w:rsid w:val="00724FB6"/>
    <w:rsid w:val="0073220F"/>
    <w:rsid w:val="0076476A"/>
    <w:rsid w:val="007E188B"/>
    <w:rsid w:val="007F5389"/>
    <w:rsid w:val="00801D08"/>
    <w:rsid w:val="008432A2"/>
    <w:rsid w:val="00850FDF"/>
    <w:rsid w:val="00875FBE"/>
    <w:rsid w:val="00893DF1"/>
    <w:rsid w:val="0089585A"/>
    <w:rsid w:val="008A3A70"/>
    <w:rsid w:val="008F43ED"/>
    <w:rsid w:val="00911004"/>
    <w:rsid w:val="009149F9"/>
    <w:rsid w:val="00975085"/>
    <w:rsid w:val="009E10F4"/>
    <w:rsid w:val="009E30CF"/>
    <w:rsid w:val="00A20A1D"/>
    <w:rsid w:val="00A52BF8"/>
    <w:rsid w:val="00AC02B2"/>
    <w:rsid w:val="00B014FB"/>
    <w:rsid w:val="00B13AF1"/>
    <w:rsid w:val="00BC7631"/>
    <w:rsid w:val="00C97464"/>
    <w:rsid w:val="00CC4656"/>
    <w:rsid w:val="00D44F3A"/>
    <w:rsid w:val="00D60532"/>
    <w:rsid w:val="00D63CD4"/>
    <w:rsid w:val="00D7023B"/>
    <w:rsid w:val="00E67E2D"/>
    <w:rsid w:val="00E956C7"/>
    <w:rsid w:val="00EF57B5"/>
    <w:rsid w:val="00F33F83"/>
    <w:rsid w:val="00FA4C2E"/>
    <w:rsid w:val="00FB5041"/>
    <w:rsid w:val="00FC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866A-3682-445B-BAAA-F394F2AF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76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FDF"/>
  </w:style>
  <w:style w:type="paragraph" w:styleId="Pieddepage">
    <w:name w:val="footer"/>
    <w:basedOn w:val="Normal"/>
    <w:link w:val="PieddepageCar"/>
    <w:uiPriority w:val="99"/>
    <w:unhideWhenUsed/>
    <w:rsid w:val="0085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FDF"/>
  </w:style>
  <w:style w:type="paragraph" w:styleId="Textedebulles">
    <w:name w:val="Balloon Text"/>
    <w:basedOn w:val="Normal"/>
    <w:link w:val="TextedebullesCar"/>
    <w:uiPriority w:val="99"/>
    <w:semiHidden/>
    <w:unhideWhenUsed/>
    <w:rsid w:val="00D6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0CE5-1FD9-438F-BA47-B4474E41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C359CA8</Template>
  <TotalTime>1</TotalTime>
  <Pages>3</Pages>
  <Words>853</Words>
  <Characters>4697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2017-05-03T07:23:00Z</cp:lastPrinted>
  <dcterms:created xsi:type="dcterms:W3CDTF">2017-07-04T08:36:00Z</dcterms:created>
  <dcterms:modified xsi:type="dcterms:W3CDTF">2017-07-04T08:36:00Z</dcterms:modified>
</cp:coreProperties>
</file>